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1EAE9432" w:rsidR="001476DA" w:rsidRPr="001476DA" w:rsidRDefault="00C847EC"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CI</w:t>
      </w:r>
      <w:r w:rsidR="00501DAA">
        <w:rPr>
          <w:rFonts w:ascii="Verdana" w:eastAsia="Calibri" w:hAnsi="Verdana"/>
          <w:b/>
          <w:bCs/>
          <w:color w:val="auto"/>
          <w:sz w:val="28"/>
          <w:szCs w:val="28"/>
        </w:rPr>
        <w:t>UDADES HISTORICAS DEL ESTE DE CANADA</w:t>
      </w:r>
    </w:p>
    <w:p w14:paraId="47313A31" w14:textId="77777777" w:rsidR="008C769E" w:rsidRPr="008C769E" w:rsidRDefault="00501DAA"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8</w:t>
      </w:r>
      <w:r w:rsidR="001476DA" w:rsidRPr="00C72692">
        <w:rPr>
          <w:rFonts w:ascii="Verdana" w:eastAsia="Calibri" w:hAnsi="Verdana"/>
          <w:b/>
          <w:bCs/>
          <w:color w:val="auto"/>
          <w:sz w:val="28"/>
          <w:szCs w:val="28"/>
        </w:rPr>
        <w:t xml:space="preserve"> días / </w:t>
      </w:r>
      <w:r>
        <w:rPr>
          <w:rFonts w:ascii="Verdana" w:eastAsia="Calibri" w:hAnsi="Verdana"/>
          <w:b/>
          <w:bCs/>
          <w:color w:val="auto"/>
          <w:sz w:val="28"/>
          <w:szCs w:val="28"/>
        </w:rPr>
        <w:t>7</w:t>
      </w:r>
      <w:r w:rsidR="001476DA" w:rsidRPr="00C72692">
        <w:rPr>
          <w:rFonts w:ascii="Verdana" w:eastAsia="Calibri" w:hAnsi="Verdana"/>
          <w:b/>
          <w:bCs/>
          <w:color w:val="auto"/>
          <w:sz w:val="28"/>
          <w:szCs w:val="28"/>
        </w:rPr>
        <w:t xml:space="preserve"> noches</w:t>
      </w:r>
    </w:p>
    <w:p w14:paraId="08879E0D" w14:textId="3A0E070C" w:rsidR="001476DA" w:rsidRPr="00C72692" w:rsidRDefault="001476DA" w:rsidP="001476DA">
      <w:pPr>
        <w:pStyle w:val="Ttulo1"/>
        <w:numPr>
          <w:ilvl w:val="0"/>
          <w:numId w:val="1"/>
        </w:numPr>
        <w:tabs>
          <w:tab w:val="clear" w:pos="0"/>
        </w:tabs>
        <w:spacing w:before="0" w:after="0"/>
        <w:jc w:val="center"/>
        <w:rPr>
          <w:rFonts w:ascii="Verdana" w:eastAsia="Calibri" w:hAnsi="Verdana"/>
          <w:b/>
          <w:bCs/>
          <w:color w:val="auto"/>
        </w:rPr>
      </w:pPr>
      <w:r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28D1EAC5" w:rsidR="00FD726D" w:rsidRDefault="00C54687" w:rsidP="00C54687">
      <w:pPr>
        <w:jc w:val="both"/>
        <w:rPr>
          <w:rFonts w:ascii="Verdana" w:hAnsi="Verdana"/>
          <w:b/>
          <w:bCs/>
          <w:lang w:val="es-CO"/>
        </w:rPr>
      </w:pPr>
      <w:r>
        <w:rPr>
          <w:rFonts w:ascii="Verdana" w:hAnsi="Verdana"/>
          <w:b/>
          <w:bCs/>
          <w:lang w:val="es-CO"/>
        </w:rPr>
        <w:t>FECHAS DE SALIDA</w:t>
      </w:r>
      <w:r w:rsidR="00501DAA">
        <w:rPr>
          <w:rFonts w:ascii="Verdana" w:hAnsi="Verdana"/>
          <w:b/>
          <w:bCs/>
          <w:lang w:val="es-CO"/>
        </w:rPr>
        <w:t>S</w:t>
      </w:r>
      <w:r w:rsidR="00C847EC">
        <w:rPr>
          <w:rFonts w:ascii="Verdana" w:hAnsi="Verdana"/>
          <w:b/>
          <w:bCs/>
          <w:lang w:val="es-CO"/>
        </w:rPr>
        <w:t xml:space="preserve"> 2026</w:t>
      </w:r>
    </w:p>
    <w:p w14:paraId="5D28673E" w14:textId="6E237C7B" w:rsidR="00501DAA" w:rsidRDefault="00501DAA" w:rsidP="00C54687">
      <w:pPr>
        <w:jc w:val="both"/>
        <w:rPr>
          <w:rFonts w:ascii="Verdana" w:hAnsi="Verdana"/>
          <w:lang w:val="es-CO"/>
        </w:rPr>
      </w:pPr>
      <w:r w:rsidRPr="00501DAA">
        <w:rPr>
          <w:rFonts w:ascii="Verdana" w:hAnsi="Verdana"/>
          <w:lang w:val="es-CO"/>
        </w:rPr>
        <w:t>MAYO</w:t>
      </w:r>
      <w:r>
        <w:rPr>
          <w:rFonts w:ascii="Verdana" w:hAnsi="Verdana"/>
          <w:lang w:val="es-CO"/>
        </w:rPr>
        <w:tab/>
      </w:r>
      <w:r>
        <w:rPr>
          <w:rFonts w:ascii="Verdana" w:hAnsi="Verdana"/>
          <w:lang w:val="es-CO"/>
        </w:rPr>
        <w:tab/>
        <w:t>10,17,24,31</w:t>
      </w:r>
    </w:p>
    <w:p w14:paraId="4D95E7F9" w14:textId="4B72D8A7" w:rsidR="00501DAA" w:rsidRPr="00501DAA" w:rsidRDefault="00501DAA" w:rsidP="00C54687">
      <w:pPr>
        <w:jc w:val="both"/>
        <w:rPr>
          <w:rFonts w:ascii="Verdana" w:hAnsi="Verdana"/>
          <w:b/>
          <w:bCs/>
          <w:color w:val="7030A0"/>
          <w:lang w:val="es-CO"/>
        </w:rPr>
      </w:pPr>
      <w:r>
        <w:rPr>
          <w:rFonts w:ascii="Verdana" w:hAnsi="Verdana"/>
          <w:lang w:val="es-CO"/>
        </w:rPr>
        <w:t xml:space="preserve">JUNIO </w:t>
      </w:r>
      <w:r>
        <w:rPr>
          <w:rFonts w:ascii="Verdana" w:hAnsi="Verdana"/>
          <w:lang w:val="es-CO"/>
        </w:rPr>
        <w:tab/>
      </w:r>
      <w:r>
        <w:rPr>
          <w:rFonts w:ascii="Verdana" w:hAnsi="Verdana"/>
          <w:lang w:val="es-CO"/>
        </w:rPr>
        <w:tab/>
        <w:t>07,</w:t>
      </w:r>
      <w:r w:rsidRPr="00501DAA">
        <w:rPr>
          <w:rFonts w:ascii="Verdana" w:hAnsi="Verdana"/>
          <w:b/>
          <w:bCs/>
          <w:color w:val="0070C0"/>
          <w:lang w:val="es-CO"/>
        </w:rPr>
        <w:t>14</w:t>
      </w:r>
      <w:r>
        <w:rPr>
          <w:rFonts w:ascii="Verdana" w:hAnsi="Verdana"/>
          <w:b/>
          <w:bCs/>
          <w:color w:val="0070C0"/>
          <w:lang w:val="es-CO"/>
        </w:rPr>
        <w:t>*</w:t>
      </w:r>
      <w:r w:rsidRPr="00501DAA">
        <w:rPr>
          <w:rFonts w:ascii="Verdana" w:hAnsi="Verdana"/>
          <w:b/>
          <w:bCs/>
          <w:color w:val="0070C0"/>
          <w:lang w:val="es-CO"/>
        </w:rPr>
        <w:t>,21</w:t>
      </w:r>
      <w:r>
        <w:rPr>
          <w:rFonts w:ascii="Verdana" w:hAnsi="Verdana"/>
          <w:b/>
          <w:bCs/>
          <w:color w:val="0070C0"/>
          <w:lang w:val="es-CO"/>
        </w:rPr>
        <w:t>*</w:t>
      </w:r>
      <w:r>
        <w:rPr>
          <w:rFonts w:ascii="Verdana" w:hAnsi="Verdana"/>
          <w:lang w:val="es-CO"/>
        </w:rPr>
        <w:t>,</w:t>
      </w:r>
      <w:r w:rsidRPr="00501DAA">
        <w:rPr>
          <w:rFonts w:ascii="Verdana" w:hAnsi="Verdana"/>
          <w:b/>
          <w:bCs/>
          <w:color w:val="7030A0"/>
          <w:lang w:val="es-CO"/>
        </w:rPr>
        <w:t>28</w:t>
      </w:r>
      <w:r>
        <w:rPr>
          <w:rFonts w:ascii="Verdana" w:hAnsi="Verdana"/>
          <w:b/>
          <w:bCs/>
          <w:color w:val="7030A0"/>
          <w:lang w:val="es-CO"/>
        </w:rPr>
        <w:t>*</w:t>
      </w:r>
    </w:p>
    <w:p w14:paraId="4B22DEE6" w14:textId="725F85BC" w:rsidR="00501DAA" w:rsidRDefault="00501DAA" w:rsidP="00C54687">
      <w:pPr>
        <w:jc w:val="both"/>
        <w:rPr>
          <w:rFonts w:ascii="Verdana" w:hAnsi="Verdana"/>
          <w:b/>
          <w:bCs/>
          <w:color w:val="00B050"/>
          <w:lang w:val="es-CO"/>
        </w:rPr>
      </w:pPr>
      <w:r w:rsidRPr="00501DAA">
        <w:rPr>
          <w:rFonts w:ascii="Verdana" w:hAnsi="Verdana"/>
          <w:lang w:val="es-CO"/>
        </w:rPr>
        <w:t xml:space="preserve">JULIO </w:t>
      </w:r>
      <w:r>
        <w:rPr>
          <w:rFonts w:ascii="Verdana" w:hAnsi="Verdana"/>
          <w:lang w:val="es-CO"/>
        </w:rPr>
        <w:tab/>
      </w:r>
      <w:r>
        <w:rPr>
          <w:rFonts w:ascii="Verdana" w:hAnsi="Verdana"/>
          <w:lang w:val="es-CO"/>
        </w:rPr>
        <w:tab/>
        <w:t>05,12,19</w:t>
      </w:r>
      <w:r w:rsidRPr="00501DAA">
        <w:rPr>
          <w:rFonts w:ascii="Verdana" w:hAnsi="Verdana"/>
          <w:b/>
          <w:bCs/>
          <w:color w:val="00B050"/>
          <w:lang w:val="es-CO"/>
        </w:rPr>
        <w:t>,26</w:t>
      </w:r>
      <w:r>
        <w:rPr>
          <w:rFonts w:ascii="Verdana" w:hAnsi="Verdana"/>
          <w:b/>
          <w:bCs/>
          <w:color w:val="00B050"/>
          <w:lang w:val="es-CO"/>
        </w:rPr>
        <w:t>*</w:t>
      </w:r>
    </w:p>
    <w:p w14:paraId="447D4ADF" w14:textId="77777777" w:rsidR="00501DAA" w:rsidRDefault="00501DAA" w:rsidP="00C54687">
      <w:pPr>
        <w:jc w:val="both"/>
        <w:rPr>
          <w:rFonts w:ascii="Verdana" w:hAnsi="Verdana"/>
          <w:lang w:val="es-CO"/>
        </w:rPr>
      </w:pPr>
      <w:r>
        <w:rPr>
          <w:rFonts w:ascii="Verdana" w:hAnsi="Verdana"/>
          <w:lang w:val="es-CO"/>
        </w:rPr>
        <w:t>AGOSTO</w:t>
      </w:r>
      <w:r>
        <w:rPr>
          <w:rFonts w:ascii="Verdana" w:hAnsi="Verdana"/>
          <w:lang w:val="es-CO"/>
        </w:rPr>
        <w:tab/>
        <w:t>02,</w:t>
      </w:r>
      <w:r w:rsidRPr="00501DAA">
        <w:rPr>
          <w:rFonts w:ascii="Verdana" w:hAnsi="Verdana"/>
          <w:b/>
          <w:bCs/>
          <w:color w:val="00B050"/>
          <w:lang w:val="es-CO"/>
        </w:rPr>
        <w:t>09*</w:t>
      </w:r>
      <w:r>
        <w:rPr>
          <w:rFonts w:ascii="Verdana" w:hAnsi="Verdana"/>
          <w:lang w:val="es-CO"/>
        </w:rPr>
        <w:t>,16,23,30</w:t>
      </w:r>
    </w:p>
    <w:p w14:paraId="24236361" w14:textId="77777777" w:rsidR="009D77A8" w:rsidRDefault="00501DAA" w:rsidP="00C54687">
      <w:pPr>
        <w:jc w:val="both"/>
        <w:rPr>
          <w:rFonts w:ascii="Verdana" w:hAnsi="Verdana"/>
          <w:lang w:val="es-CO"/>
        </w:rPr>
      </w:pPr>
      <w:r>
        <w:rPr>
          <w:rFonts w:ascii="Verdana" w:hAnsi="Verdana"/>
          <w:lang w:val="es-CO"/>
        </w:rPr>
        <w:t xml:space="preserve">SEPTIEMBRE </w:t>
      </w:r>
      <w:r w:rsidR="009D77A8">
        <w:rPr>
          <w:rFonts w:ascii="Verdana" w:hAnsi="Verdana"/>
          <w:lang w:val="es-CO"/>
        </w:rPr>
        <w:t xml:space="preserve"> </w:t>
      </w:r>
      <w:r>
        <w:rPr>
          <w:rFonts w:ascii="Verdana" w:hAnsi="Verdana"/>
          <w:lang w:val="es-CO"/>
        </w:rPr>
        <w:t>06,13,20</w:t>
      </w:r>
      <w:r w:rsidR="009D77A8">
        <w:rPr>
          <w:rFonts w:ascii="Verdana" w:hAnsi="Verdana"/>
          <w:lang w:val="es-CO"/>
        </w:rPr>
        <w:t>,27</w:t>
      </w:r>
    </w:p>
    <w:p w14:paraId="4B2B28FF" w14:textId="77777777" w:rsidR="009D77A8" w:rsidRDefault="009D77A8" w:rsidP="00C54687">
      <w:pPr>
        <w:jc w:val="both"/>
        <w:rPr>
          <w:rFonts w:ascii="Verdana" w:hAnsi="Verdana"/>
          <w:lang w:val="es-CO"/>
        </w:rPr>
      </w:pPr>
      <w:r>
        <w:rPr>
          <w:rFonts w:ascii="Verdana" w:hAnsi="Verdana"/>
          <w:lang w:val="es-CO"/>
        </w:rPr>
        <w:t xml:space="preserve">OCTUBRE </w:t>
      </w:r>
      <w:r>
        <w:rPr>
          <w:rFonts w:ascii="Verdana" w:hAnsi="Verdana"/>
          <w:lang w:val="es-CO"/>
        </w:rPr>
        <w:tab/>
        <w:t>04,11,18,25</w:t>
      </w:r>
    </w:p>
    <w:p w14:paraId="20E1DF4A" w14:textId="2F50A6E8" w:rsidR="00501DAA" w:rsidRPr="00501DAA" w:rsidRDefault="009D77A8" w:rsidP="00C54687">
      <w:pPr>
        <w:jc w:val="both"/>
        <w:rPr>
          <w:rFonts w:ascii="Verdana" w:hAnsi="Verdana"/>
          <w:lang w:val="es-CO"/>
        </w:rPr>
      </w:pPr>
      <w:r>
        <w:rPr>
          <w:rFonts w:ascii="Verdana" w:hAnsi="Verdana"/>
          <w:lang w:val="es-CO"/>
        </w:rPr>
        <w:t>NOVIEMBRE   01,08</w:t>
      </w:r>
      <w:r w:rsidR="00501DAA">
        <w:rPr>
          <w:rFonts w:ascii="Verdana" w:hAnsi="Verdana"/>
          <w:lang w:val="es-CO"/>
        </w:rPr>
        <w:tab/>
      </w:r>
    </w:p>
    <w:p w14:paraId="4FFCA25C" w14:textId="77777777" w:rsidR="008C769E" w:rsidRDefault="008C769E" w:rsidP="00501DAA">
      <w:pPr>
        <w:jc w:val="both"/>
        <w:rPr>
          <w:rFonts w:ascii="Verdana" w:hAnsi="Verdana"/>
          <w:b/>
          <w:color w:val="2E74B5" w:themeColor="accent5" w:themeShade="BF"/>
          <w:szCs w:val="18"/>
        </w:rPr>
      </w:pPr>
    </w:p>
    <w:p w14:paraId="4D10C3C3" w14:textId="6EE13008" w:rsidR="00501DAA" w:rsidRPr="009D77A8" w:rsidRDefault="00501DAA" w:rsidP="00501DAA">
      <w:pPr>
        <w:jc w:val="both"/>
        <w:rPr>
          <w:rFonts w:ascii="Verdana" w:hAnsi="Verdana"/>
          <w:b/>
          <w:color w:val="2E74B5" w:themeColor="accent5" w:themeShade="BF"/>
          <w:szCs w:val="18"/>
        </w:rPr>
      </w:pPr>
      <w:r w:rsidRPr="009D77A8">
        <w:rPr>
          <w:rFonts w:ascii="Verdana" w:hAnsi="Verdana"/>
          <w:b/>
          <w:color w:val="2E74B5" w:themeColor="accent5" w:themeShade="BF"/>
          <w:szCs w:val="18"/>
        </w:rPr>
        <w:t>*Suplemento por evento preestablecido (FIFA 2026)</w:t>
      </w:r>
    </w:p>
    <w:p w14:paraId="180A8093" w14:textId="77777777" w:rsidR="00501DAA" w:rsidRPr="009D77A8" w:rsidRDefault="00501DAA" w:rsidP="00501DAA">
      <w:pPr>
        <w:jc w:val="both"/>
        <w:rPr>
          <w:rFonts w:ascii="Verdana" w:hAnsi="Verdana"/>
          <w:b/>
          <w:color w:val="7030A0"/>
          <w:szCs w:val="18"/>
        </w:rPr>
      </w:pPr>
      <w:r w:rsidRPr="009D77A8">
        <w:rPr>
          <w:rFonts w:ascii="Verdana" w:hAnsi="Verdana"/>
          <w:b/>
          <w:color w:val="7030A0"/>
          <w:szCs w:val="18"/>
        </w:rPr>
        <w:t>*Suplemento por evento preestablecido (FIFA 2026)</w:t>
      </w:r>
    </w:p>
    <w:p w14:paraId="4D2613D0" w14:textId="69F09EC8" w:rsidR="00C72692" w:rsidRPr="009D77A8" w:rsidRDefault="00501DAA" w:rsidP="009D77A8">
      <w:pPr>
        <w:jc w:val="both"/>
        <w:rPr>
          <w:rFonts w:ascii="Verdana" w:hAnsi="Verdana"/>
          <w:b/>
          <w:bCs/>
          <w:color w:val="FF0000"/>
          <w:lang w:val="es-CO"/>
        </w:rPr>
      </w:pPr>
      <w:r w:rsidRPr="009D77A8">
        <w:rPr>
          <w:rFonts w:ascii="Verdana" w:hAnsi="Verdana"/>
          <w:b/>
          <w:color w:val="00B050"/>
          <w:szCs w:val="18"/>
        </w:rPr>
        <w:t>*Suplemento por evento preestablecido</w:t>
      </w:r>
    </w:p>
    <w:p w14:paraId="01C8101F" w14:textId="77777777" w:rsidR="00C847EC" w:rsidRDefault="00C847EC" w:rsidP="00C847EC">
      <w:pPr>
        <w:keepLines/>
        <w:rPr>
          <w:rFonts w:ascii="Verdana" w:hAnsi="Verdana"/>
          <w:b/>
          <w:bCs/>
          <w:color w:val="FF0000"/>
          <w:lang w:val="es-CO"/>
        </w:rPr>
      </w:pPr>
    </w:p>
    <w:p w14:paraId="6247BEAE" w14:textId="61303C5D" w:rsidR="009D77A8" w:rsidRPr="009D77A8" w:rsidRDefault="009D77A8" w:rsidP="009D77A8">
      <w:pPr>
        <w:jc w:val="both"/>
        <w:rPr>
          <w:rFonts w:ascii="Verdana" w:hAnsi="Verdana"/>
          <w:b/>
          <w:lang w:val="es-PE" w:eastAsia="fr-FR"/>
        </w:rPr>
      </w:pPr>
      <w:r w:rsidRPr="009D77A8">
        <w:rPr>
          <w:rFonts w:ascii="Verdana" w:hAnsi="Verdana"/>
          <w:b/>
          <w:bCs/>
          <w:lang w:val="es-CO"/>
        </w:rPr>
        <w:t>Día 1 D</w:t>
      </w:r>
      <w:r>
        <w:rPr>
          <w:rFonts w:ascii="Verdana" w:hAnsi="Verdana"/>
          <w:b/>
          <w:bCs/>
          <w:lang w:val="es-CO"/>
        </w:rPr>
        <w:t>omingo:</w:t>
      </w:r>
      <w:r w:rsidRPr="009D77A8">
        <w:rPr>
          <w:rFonts w:ascii="Verdana" w:hAnsi="Verdana"/>
          <w:b/>
          <w:lang w:val="es-PE" w:eastAsia="fr-FR"/>
        </w:rPr>
        <w:t xml:space="preserve"> TORONTO </w:t>
      </w:r>
    </w:p>
    <w:p w14:paraId="756AFC30" w14:textId="15398ECF" w:rsidR="009D77A8" w:rsidRPr="009D77A8" w:rsidRDefault="009D77A8" w:rsidP="009D77A8">
      <w:pPr>
        <w:jc w:val="both"/>
        <w:rPr>
          <w:rFonts w:ascii="Verdana" w:hAnsi="Verdana"/>
          <w:lang w:val="es-PE" w:eastAsia="fr-FR"/>
        </w:rPr>
      </w:pPr>
      <w:r w:rsidRPr="009D77A8">
        <w:rPr>
          <w:rFonts w:ascii="Verdana" w:hAnsi="Verdana"/>
          <w:lang w:val="es-PE" w:eastAsia="fr-FR"/>
        </w:rPr>
        <w:t>Bienvenidos a Toronto. Favor buscar el representante de  la llegada en el aeropuerto quien tendrá una pancarta con nuestro logo. Traslado del aeropuerto al hotel. Tiempo libre para explorar la ciudad. Alojamiento en Toronto.</w:t>
      </w:r>
    </w:p>
    <w:p w14:paraId="2459BB9E" w14:textId="77777777" w:rsidR="009D77A8" w:rsidRPr="009D77A8" w:rsidRDefault="009D77A8" w:rsidP="009D77A8">
      <w:pPr>
        <w:jc w:val="both"/>
        <w:rPr>
          <w:rFonts w:ascii="Museo Sans 300" w:hAnsi="Museo Sans 300"/>
          <w:lang w:val="es-PE" w:eastAsia="fr-FR"/>
        </w:rPr>
      </w:pPr>
    </w:p>
    <w:p w14:paraId="217F71BE" w14:textId="6EF4FAF0" w:rsidR="009D77A8" w:rsidRPr="009D77A8" w:rsidRDefault="009D77A8" w:rsidP="009D77A8">
      <w:pPr>
        <w:jc w:val="both"/>
        <w:rPr>
          <w:rFonts w:ascii="Verdana" w:hAnsi="Verdana"/>
          <w:b/>
          <w:lang w:val="es-PE" w:eastAsia="fr-FR"/>
        </w:rPr>
      </w:pPr>
      <w:r w:rsidRPr="009D77A8">
        <w:rPr>
          <w:rFonts w:ascii="Verdana" w:hAnsi="Verdana"/>
          <w:b/>
          <w:bCs/>
          <w:lang w:val="es-CO"/>
        </w:rPr>
        <w:t>Día 2 L</w:t>
      </w:r>
      <w:r>
        <w:rPr>
          <w:rFonts w:ascii="Verdana" w:hAnsi="Verdana"/>
          <w:b/>
          <w:bCs/>
          <w:lang w:val="es-CO"/>
        </w:rPr>
        <w:t xml:space="preserve">unes: </w:t>
      </w:r>
      <w:r w:rsidRPr="009D77A8">
        <w:rPr>
          <w:rFonts w:ascii="Verdana" w:hAnsi="Verdana"/>
          <w:b/>
          <w:bCs/>
          <w:lang w:val="es-CO"/>
        </w:rPr>
        <w:t xml:space="preserve"> </w:t>
      </w:r>
      <w:r w:rsidRPr="009D77A8">
        <w:rPr>
          <w:rFonts w:ascii="Verdana" w:hAnsi="Verdana"/>
          <w:b/>
          <w:lang w:val="es-PE" w:eastAsia="fr-FR"/>
        </w:rPr>
        <w:t>TORONTO</w:t>
      </w:r>
      <w:r w:rsidR="00F13D6E">
        <w:rPr>
          <w:rFonts w:ascii="Verdana" w:hAnsi="Verdana"/>
          <w:b/>
          <w:lang w:val="es-PE" w:eastAsia="fr-FR"/>
        </w:rPr>
        <w:t>/</w:t>
      </w:r>
      <w:r w:rsidRPr="009D77A8">
        <w:rPr>
          <w:rFonts w:ascii="Verdana" w:hAnsi="Verdana"/>
          <w:b/>
          <w:lang w:val="es-PE" w:eastAsia="fr-FR"/>
        </w:rPr>
        <w:t xml:space="preserve">NIAGARA </w:t>
      </w:r>
    </w:p>
    <w:p w14:paraId="313B5B98"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El recorrido empieza visitando Toronto, capital económica del país: recorrido por el antiguo y nuevo City Hall, el Parlamento, el barrio Chino, la Universidad de Toronto, la Torre CN (</w:t>
      </w:r>
      <w:r w:rsidRPr="009D77A8">
        <w:rPr>
          <w:rFonts w:ascii="Verdana" w:hAnsi="Verdana"/>
          <w:b/>
          <w:lang w:val="es-PE" w:eastAsia="fr-FR"/>
        </w:rPr>
        <w:t>subida opcional</w:t>
      </w:r>
      <w:r w:rsidRPr="009D77A8">
        <w:rPr>
          <w:rFonts w:ascii="Verdana" w:hAnsi="Verdana"/>
          <w:lang w:val="es-PE" w:eastAsia="fr-FR"/>
        </w:rPr>
        <w:t>). Continuaremos nuestro paseo para llegar a las Cataratas del Niágara. La excursión en barco « Voyage to the Falls » (disponible del 15 de Mayo al 15 de Octubre, fuera de estas fechas, reemplazado por túneles escénicos.) los llevará al corazón de las cataratas. Tiempo libre para explorar Niágara y ver las cataratas iluminadas por la noche. Alojamiento en Niágara Falls.</w:t>
      </w:r>
    </w:p>
    <w:p w14:paraId="4D359A54" w14:textId="77777777" w:rsidR="009D77A8" w:rsidRPr="009D77A8" w:rsidRDefault="009D77A8" w:rsidP="009D77A8">
      <w:pPr>
        <w:jc w:val="both"/>
        <w:rPr>
          <w:rFonts w:ascii="Museo Sans 300" w:hAnsi="Museo Sans 300"/>
          <w:lang w:val="es-PE" w:eastAsia="fr-FR"/>
        </w:rPr>
      </w:pPr>
    </w:p>
    <w:p w14:paraId="1C6E66A1" w14:textId="0590179A" w:rsidR="009D77A8" w:rsidRPr="009D77A8" w:rsidRDefault="009D77A8" w:rsidP="009D77A8">
      <w:pPr>
        <w:jc w:val="both"/>
        <w:rPr>
          <w:rFonts w:ascii="Verdana" w:hAnsi="Verdana"/>
          <w:b/>
          <w:lang w:val="es-PE" w:eastAsia="fr-FR"/>
        </w:rPr>
      </w:pPr>
      <w:r w:rsidRPr="009D77A8">
        <w:rPr>
          <w:rFonts w:ascii="Verdana" w:hAnsi="Verdana"/>
          <w:b/>
          <w:bCs/>
          <w:lang w:val="es-CO"/>
        </w:rPr>
        <w:t>Día 3 M</w:t>
      </w:r>
      <w:r w:rsidR="00F13D6E">
        <w:rPr>
          <w:rFonts w:ascii="Verdana" w:hAnsi="Verdana"/>
          <w:b/>
          <w:bCs/>
          <w:lang w:val="es-CO"/>
        </w:rPr>
        <w:t>artes:</w:t>
      </w:r>
      <w:r w:rsidRPr="009D77A8">
        <w:rPr>
          <w:rFonts w:ascii="Verdana" w:hAnsi="Verdana"/>
          <w:b/>
          <w:bCs/>
          <w:lang w:val="es-CO"/>
        </w:rPr>
        <w:t xml:space="preserve"> </w:t>
      </w:r>
      <w:r w:rsidR="00F13D6E" w:rsidRPr="009D77A8">
        <w:rPr>
          <w:rFonts w:ascii="Verdana" w:hAnsi="Verdana"/>
          <w:b/>
          <w:lang w:val="es-PE" w:eastAsia="fr-FR"/>
        </w:rPr>
        <w:t>NIAGARA</w:t>
      </w:r>
      <w:r w:rsidR="00F13D6E">
        <w:rPr>
          <w:rFonts w:ascii="Verdana" w:hAnsi="Verdana"/>
          <w:b/>
          <w:lang w:val="es-PE" w:eastAsia="fr-FR"/>
        </w:rPr>
        <w:t>/</w:t>
      </w:r>
      <w:r w:rsidR="00F13D6E" w:rsidRPr="009D77A8">
        <w:rPr>
          <w:rFonts w:ascii="Verdana" w:hAnsi="Verdana"/>
          <w:b/>
          <w:lang w:val="es-PE" w:eastAsia="fr-FR"/>
        </w:rPr>
        <w:t xml:space="preserve"> MIL ISLAS </w:t>
      </w:r>
      <w:r w:rsidR="00F13D6E">
        <w:rPr>
          <w:rFonts w:ascii="Verdana" w:hAnsi="Verdana"/>
          <w:b/>
          <w:lang w:val="es-PE" w:eastAsia="fr-FR"/>
        </w:rPr>
        <w:t>/</w:t>
      </w:r>
      <w:r w:rsidR="00F13D6E" w:rsidRPr="009D77A8">
        <w:rPr>
          <w:rFonts w:ascii="Verdana" w:hAnsi="Verdana"/>
          <w:b/>
          <w:lang w:val="es-PE" w:eastAsia="fr-FR"/>
        </w:rPr>
        <w:t>OTTAWA</w:t>
      </w:r>
    </w:p>
    <w:p w14:paraId="5263E75C"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Primer Ministro, la Residencia del Gobernador General y otros edificios del Gobierno. Al final del recorrido podrán visitar el Mercado Byward. Tiempo libre por la noche. Alojamiento en Ottawa.</w:t>
      </w:r>
    </w:p>
    <w:p w14:paraId="5DAF8917" w14:textId="77777777" w:rsidR="009D77A8" w:rsidRPr="009D77A8" w:rsidRDefault="009D77A8" w:rsidP="009D77A8">
      <w:pPr>
        <w:jc w:val="both"/>
        <w:rPr>
          <w:rFonts w:ascii="Museo Sans 300" w:hAnsi="Museo Sans 300"/>
          <w:lang w:val="es-PE" w:eastAsia="fr-FR"/>
        </w:rPr>
      </w:pPr>
    </w:p>
    <w:p w14:paraId="322B1AF0" w14:textId="03E6135D" w:rsidR="009D77A8" w:rsidRPr="009D77A8" w:rsidRDefault="009D77A8" w:rsidP="009D77A8">
      <w:pPr>
        <w:jc w:val="both"/>
        <w:rPr>
          <w:rFonts w:ascii="Verdana" w:hAnsi="Verdana"/>
          <w:b/>
          <w:lang w:val="es-PE" w:eastAsia="fr-FR"/>
        </w:rPr>
      </w:pPr>
      <w:r w:rsidRPr="009D77A8">
        <w:rPr>
          <w:rFonts w:ascii="Verdana" w:hAnsi="Verdana"/>
          <w:b/>
          <w:bCs/>
          <w:lang w:val="es-CO"/>
        </w:rPr>
        <w:t xml:space="preserve">Día 4 </w:t>
      </w:r>
      <w:r w:rsidR="00F13D6E" w:rsidRPr="009D77A8">
        <w:rPr>
          <w:rFonts w:ascii="Verdana" w:hAnsi="Verdana"/>
          <w:b/>
          <w:bCs/>
          <w:lang w:val="es-CO"/>
        </w:rPr>
        <w:t>M</w:t>
      </w:r>
      <w:r w:rsidR="00F13D6E">
        <w:rPr>
          <w:rFonts w:ascii="Verdana" w:hAnsi="Verdana"/>
          <w:b/>
          <w:bCs/>
          <w:lang w:val="es-CO"/>
        </w:rPr>
        <w:t xml:space="preserve">iércoles: </w:t>
      </w:r>
      <w:r w:rsidRPr="009D77A8">
        <w:rPr>
          <w:rFonts w:ascii="Verdana" w:hAnsi="Verdana"/>
          <w:b/>
          <w:bCs/>
          <w:lang w:val="es-CO"/>
        </w:rPr>
        <w:t xml:space="preserve"> </w:t>
      </w:r>
      <w:r w:rsidR="00F13D6E" w:rsidRPr="009D77A8">
        <w:rPr>
          <w:rFonts w:ascii="Verdana" w:hAnsi="Verdana"/>
          <w:b/>
          <w:lang w:val="es-PE" w:eastAsia="fr-FR"/>
        </w:rPr>
        <w:t>OTTAWA</w:t>
      </w:r>
      <w:r w:rsidR="00F13D6E">
        <w:rPr>
          <w:rFonts w:ascii="Verdana" w:hAnsi="Verdana"/>
          <w:b/>
          <w:lang w:val="es-PE" w:eastAsia="fr-FR"/>
        </w:rPr>
        <w:t>/</w:t>
      </w:r>
      <w:r w:rsidR="00F13D6E" w:rsidRPr="009D77A8">
        <w:rPr>
          <w:rFonts w:ascii="Verdana" w:hAnsi="Verdana"/>
          <w:b/>
          <w:lang w:val="es-PE" w:eastAsia="fr-FR"/>
        </w:rPr>
        <w:t xml:space="preserve">QUEBEC </w:t>
      </w:r>
    </w:p>
    <w:p w14:paraId="3AB52C06"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Alojamiento en Quebec.</w:t>
      </w:r>
    </w:p>
    <w:p w14:paraId="5366BCEB" w14:textId="77777777" w:rsidR="009D77A8" w:rsidRDefault="009D77A8" w:rsidP="009D77A8">
      <w:pPr>
        <w:jc w:val="both"/>
        <w:rPr>
          <w:rFonts w:ascii="Museo Sans 300" w:hAnsi="Museo Sans 300"/>
          <w:lang w:val="es-PE" w:eastAsia="fr-FR"/>
        </w:rPr>
      </w:pPr>
    </w:p>
    <w:p w14:paraId="3D40BBB4" w14:textId="77777777" w:rsidR="00F13D6E" w:rsidRDefault="00F13D6E" w:rsidP="009D77A8">
      <w:pPr>
        <w:jc w:val="both"/>
        <w:rPr>
          <w:rFonts w:ascii="Museo Sans 300" w:hAnsi="Museo Sans 300"/>
          <w:lang w:val="es-PE" w:eastAsia="fr-FR"/>
        </w:rPr>
      </w:pPr>
    </w:p>
    <w:p w14:paraId="276A5BF0" w14:textId="5C638611" w:rsidR="009D77A8" w:rsidRPr="009D77A8" w:rsidRDefault="009D77A8" w:rsidP="009D77A8">
      <w:pPr>
        <w:jc w:val="both"/>
        <w:rPr>
          <w:rFonts w:ascii="Verdana" w:hAnsi="Verdana"/>
          <w:b/>
          <w:lang w:val="es-PE" w:eastAsia="fr-FR"/>
        </w:rPr>
      </w:pPr>
      <w:r w:rsidRPr="009D77A8">
        <w:rPr>
          <w:rFonts w:ascii="Verdana" w:hAnsi="Verdana"/>
          <w:b/>
          <w:bCs/>
          <w:lang w:val="es-CO"/>
        </w:rPr>
        <w:t>Día 5 J</w:t>
      </w:r>
      <w:r w:rsidR="00F13D6E">
        <w:rPr>
          <w:rFonts w:ascii="Verdana" w:hAnsi="Verdana"/>
          <w:b/>
          <w:bCs/>
          <w:lang w:val="es-CO"/>
        </w:rPr>
        <w:t xml:space="preserve">ueves: </w:t>
      </w:r>
      <w:r w:rsidR="00F13D6E" w:rsidRPr="009D77A8">
        <w:rPr>
          <w:rFonts w:ascii="Verdana" w:hAnsi="Verdana"/>
          <w:b/>
          <w:bCs/>
          <w:lang w:val="es-CO"/>
        </w:rPr>
        <w:t xml:space="preserve"> </w:t>
      </w:r>
      <w:r w:rsidR="00F13D6E" w:rsidRPr="009D77A8">
        <w:rPr>
          <w:rFonts w:ascii="Verdana" w:hAnsi="Verdana"/>
          <w:b/>
          <w:lang w:val="es-PE" w:eastAsia="fr-FR"/>
        </w:rPr>
        <w:t>QUEBEC</w:t>
      </w:r>
    </w:p>
    <w:p w14:paraId="3655D47D"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Día libre sin transporte para recorrer la ciudad de Quebec a su antojo. Alojamiento en Quebec.</w:t>
      </w:r>
    </w:p>
    <w:p w14:paraId="15C59222" w14:textId="77777777" w:rsidR="009D77A8" w:rsidRPr="009D77A8" w:rsidRDefault="009D77A8" w:rsidP="009D77A8">
      <w:pPr>
        <w:jc w:val="both"/>
        <w:rPr>
          <w:rFonts w:ascii="Verdana" w:hAnsi="Verdana"/>
          <w:lang w:val="es-PE" w:eastAsia="fr-FR"/>
        </w:rPr>
      </w:pPr>
      <w:r w:rsidRPr="009D77A8">
        <w:rPr>
          <w:rFonts w:ascii="Verdana" w:hAnsi="Verdana"/>
          <w:b/>
          <w:lang w:val="es-PE" w:eastAsia="fr-FR"/>
        </w:rPr>
        <w:t xml:space="preserve">Opcional. </w:t>
      </w:r>
      <w:r w:rsidRPr="009D77A8">
        <w:rPr>
          <w:rFonts w:ascii="Verdana" w:hAnsi="Verdana"/>
          <w:lang w:val="es-PE" w:eastAsia="fr-FR"/>
        </w:rPr>
        <w:t>Visita de la costa de Beaupré, la Basílica de Santa Ana, el cañón de Santa Ana y la Catarata Montmorency. De 9:00 a 13:00.</w:t>
      </w:r>
    </w:p>
    <w:p w14:paraId="5783EA35" w14:textId="77777777" w:rsidR="009D77A8" w:rsidRPr="00F13D6E" w:rsidRDefault="009D77A8" w:rsidP="009D77A8">
      <w:pPr>
        <w:jc w:val="both"/>
        <w:rPr>
          <w:rFonts w:ascii="Verdana" w:hAnsi="Verdana"/>
          <w:b/>
          <w:bCs/>
          <w:lang w:val="es-PE" w:eastAsia="fr-FR"/>
        </w:rPr>
      </w:pPr>
      <w:r w:rsidRPr="009D77A8">
        <w:rPr>
          <w:rFonts w:ascii="Verdana" w:hAnsi="Verdana"/>
          <w:b/>
          <w:lang w:val="es-PE" w:eastAsia="fr-FR"/>
        </w:rPr>
        <w:t xml:space="preserve">Opcional. </w:t>
      </w:r>
      <w:r w:rsidRPr="009D77A8">
        <w:rPr>
          <w:rFonts w:ascii="Verdana" w:hAnsi="Verdana"/>
          <w:lang w:val="es-PE" w:eastAsia="fr-FR"/>
        </w:rPr>
        <w:t xml:space="preserve">Excursión para ver las ballenas. Duración aproximada 10 horas. Salida hacia la región de Charlevoix reconocida por sus majestuosos paisajes marinos. Embarque al crucero que tiene una duración de 3 horas. Regreso a Québec. </w:t>
      </w:r>
      <w:r w:rsidRPr="00F13D6E">
        <w:rPr>
          <w:rFonts w:ascii="Verdana" w:hAnsi="Verdana"/>
          <w:b/>
          <w:bCs/>
          <w:lang w:val="es-PE" w:eastAsia="fr-FR"/>
        </w:rPr>
        <w:t>Disponible de Mayo a Octubre.</w:t>
      </w:r>
    </w:p>
    <w:p w14:paraId="7ABCD482" w14:textId="77777777" w:rsidR="009D77A8" w:rsidRPr="009D77A8" w:rsidRDefault="009D77A8" w:rsidP="009D77A8">
      <w:pPr>
        <w:jc w:val="both"/>
        <w:rPr>
          <w:rFonts w:ascii="Museo Sans 300" w:hAnsi="Museo Sans 300"/>
          <w:b/>
          <w:lang w:val="es-PE" w:eastAsia="fr-FR"/>
        </w:rPr>
      </w:pPr>
    </w:p>
    <w:p w14:paraId="38761AB7" w14:textId="2865C5CB" w:rsidR="009D77A8" w:rsidRPr="009D77A8" w:rsidRDefault="009D77A8" w:rsidP="009D77A8">
      <w:pPr>
        <w:jc w:val="both"/>
        <w:rPr>
          <w:rFonts w:ascii="Verdana" w:hAnsi="Verdana"/>
          <w:b/>
          <w:lang w:val="es-PE" w:eastAsia="fr-FR"/>
        </w:rPr>
      </w:pPr>
      <w:r w:rsidRPr="009D77A8">
        <w:rPr>
          <w:rFonts w:ascii="Verdana" w:hAnsi="Verdana"/>
          <w:b/>
          <w:bCs/>
          <w:lang w:val="es-CO"/>
        </w:rPr>
        <w:t>Día 6</w:t>
      </w:r>
      <w:r w:rsidR="00F13D6E">
        <w:rPr>
          <w:rFonts w:ascii="Verdana" w:hAnsi="Verdana"/>
          <w:b/>
          <w:bCs/>
          <w:lang w:val="es-CO"/>
        </w:rPr>
        <w:t xml:space="preserve">: </w:t>
      </w:r>
      <w:r w:rsidRPr="009D77A8">
        <w:rPr>
          <w:rFonts w:ascii="Verdana" w:hAnsi="Verdana"/>
          <w:b/>
          <w:bCs/>
          <w:lang w:val="es-CO"/>
        </w:rPr>
        <w:t>V</w:t>
      </w:r>
      <w:r w:rsidR="00F13D6E">
        <w:rPr>
          <w:rFonts w:ascii="Verdana" w:hAnsi="Verdana"/>
          <w:b/>
          <w:bCs/>
          <w:lang w:val="es-CO"/>
        </w:rPr>
        <w:t>iernes:</w:t>
      </w:r>
      <w:r w:rsidRPr="009D77A8">
        <w:rPr>
          <w:rFonts w:ascii="Verdana" w:hAnsi="Verdana"/>
          <w:b/>
          <w:bCs/>
          <w:lang w:val="es-CO"/>
        </w:rPr>
        <w:t xml:space="preserve"> </w:t>
      </w:r>
      <w:r w:rsidR="00F13D6E" w:rsidRPr="009D77A8">
        <w:rPr>
          <w:rFonts w:ascii="Verdana" w:hAnsi="Verdana"/>
          <w:b/>
          <w:lang w:val="es-PE" w:eastAsia="fr-FR"/>
        </w:rPr>
        <w:t>QUEBEC</w:t>
      </w:r>
      <w:r w:rsidR="00F13D6E">
        <w:rPr>
          <w:rFonts w:ascii="Verdana" w:hAnsi="Verdana"/>
          <w:b/>
          <w:lang w:val="es-PE" w:eastAsia="fr-FR"/>
        </w:rPr>
        <w:t>/</w:t>
      </w:r>
      <w:r w:rsidR="00F13D6E" w:rsidRPr="009D77A8">
        <w:rPr>
          <w:rFonts w:ascii="Verdana" w:hAnsi="Verdana"/>
          <w:b/>
          <w:lang w:val="es-PE" w:eastAsia="fr-FR"/>
        </w:rPr>
        <w:t>MONTREAL</w:t>
      </w:r>
      <w:r w:rsidRPr="009D77A8">
        <w:rPr>
          <w:rFonts w:ascii="Verdana" w:hAnsi="Verdana"/>
          <w:b/>
          <w:lang w:val="es-PE" w:eastAsia="fr-FR"/>
        </w:rPr>
        <w:t xml:space="preserve"> </w:t>
      </w:r>
    </w:p>
    <w:p w14:paraId="25EBA42A"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Salida hacia Montreal, la segunda ciudad francófona en importancia después de París. Llegada a Montreal. Visita de la ciudad de Montreal pasando por el barrio histórico llamado Vieux-Montreal, la basílica Notre-Dame (entrada no incluida), el parque del Mont-Royal, la red subterránea de túneles y galerías que unen más de 2000 tiendas, restaurantes, museos, universidades y edificios del centro de la ciudad. Alojamiento en Montreal.</w:t>
      </w:r>
    </w:p>
    <w:p w14:paraId="5C05B640" w14:textId="77777777" w:rsidR="009D77A8" w:rsidRPr="009D77A8" w:rsidRDefault="009D77A8" w:rsidP="009D77A8">
      <w:pPr>
        <w:jc w:val="both"/>
        <w:rPr>
          <w:rFonts w:ascii="Verdana" w:hAnsi="Verdana"/>
          <w:lang w:val="es-PE" w:eastAsia="fr-FR"/>
        </w:rPr>
      </w:pPr>
      <w:r w:rsidRPr="009D77A8">
        <w:rPr>
          <w:rFonts w:ascii="Verdana" w:hAnsi="Verdana"/>
          <w:b/>
          <w:lang w:val="es-PE" w:eastAsia="fr-FR"/>
        </w:rPr>
        <w:t>Opcional:</w:t>
      </w:r>
      <w:r w:rsidRPr="009D77A8">
        <w:rPr>
          <w:rFonts w:ascii="Verdana" w:hAnsi="Verdana"/>
          <w:lang w:val="es-PE" w:eastAsia="fr-FR"/>
        </w:rPr>
        <w:t xml:space="preserve"> Visita del Biodôme y Jardín Botánico</w:t>
      </w:r>
    </w:p>
    <w:p w14:paraId="622D8AAB" w14:textId="77777777" w:rsidR="009D77A8" w:rsidRPr="009D77A8" w:rsidRDefault="009D77A8" w:rsidP="009D77A8">
      <w:pPr>
        <w:jc w:val="both"/>
        <w:rPr>
          <w:rFonts w:ascii="Museo Sans 300" w:hAnsi="Museo Sans 300"/>
          <w:b/>
          <w:lang w:val="es-PE" w:eastAsia="fr-FR"/>
        </w:rPr>
      </w:pPr>
    </w:p>
    <w:p w14:paraId="082D9EA9" w14:textId="6E15F27A" w:rsidR="009D77A8" w:rsidRPr="009D77A8" w:rsidRDefault="009D77A8" w:rsidP="009D77A8">
      <w:pPr>
        <w:jc w:val="both"/>
        <w:rPr>
          <w:rFonts w:ascii="Verdana" w:hAnsi="Verdana"/>
          <w:b/>
          <w:lang w:val="es-PE" w:eastAsia="fr-FR"/>
        </w:rPr>
      </w:pPr>
      <w:r w:rsidRPr="009D77A8">
        <w:rPr>
          <w:rFonts w:ascii="Verdana" w:hAnsi="Verdana"/>
          <w:b/>
          <w:bCs/>
          <w:lang w:val="es-CO"/>
        </w:rPr>
        <w:t>Día 7</w:t>
      </w:r>
      <w:r w:rsidR="00F13D6E">
        <w:rPr>
          <w:rFonts w:ascii="Verdana" w:hAnsi="Verdana"/>
          <w:b/>
          <w:bCs/>
          <w:lang w:val="es-CO"/>
        </w:rPr>
        <w:t>:</w:t>
      </w:r>
      <w:r w:rsidRPr="009D77A8">
        <w:rPr>
          <w:rFonts w:ascii="Verdana" w:hAnsi="Verdana"/>
          <w:b/>
          <w:bCs/>
          <w:lang w:val="es-CO"/>
        </w:rPr>
        <w:t xml:space="preserve"> </w:t>
      </w:r>
      <w:r w:rsidR="00F13D6E" w:rsidRPr="009D77A8">
        <w:rPr>
          <w:rFonts w:ascii="Verdana" w:hAnsi="Verdana"/>
          <w:b/>
          <w:bCs/>
          <w:lang w:val="es-CO"/>
        </w:rPr>
        <w:t>S</w:t>
      </w:r>
      <w:r w:rsidR="00F13D6E">
        <w:rPr>
          <w:rFonts w:ascii="Verdana" w:hAnsi="Verdana"/>
          <w:b/>
          <w:bCs/>
          <w:lang w:val="es-CO"/>
        </w:rPr>
        <w:t>ábado:</w:t>
      </w:r>
      <w:r w:rsidRPr="009D77A8">
        <w:rPr>
          <w:rFonts w:ascii="Verdana" w:hAnsi="Verdana"/>
          <w:b/>
          <w:bCs/>
          <w:lang w:val="es-CO"/>
        </w:rPr>
        <w:t xml:space="preserve"> </w:t>
      </w:r>
      <w:r w:rsidR="00F13D6E" w:rsidRPr="009D77A8">
        <w:rPr>
          <w:rFonts w:ascii="Verdana" w:hAnsi="Verdana"/>
          <w:b/>
          <w:lang w:val="es-PE" w:eastAsia="fr-FR"/>
        </w:rPr>
        <w:t>MONTREAL</w:t>
      </w:r>
    </w:p>
    <w:p w14:paraId="592C7962"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Día libre sin transporte en Montreal para recorrer la ciudad a su antojo. Alojamiento en Montréal.</w:t>
      </w:r>
    </w:p>
    <w:p w14:paraId="1A398317" w14:textId="77777777" w:rsidR="009D77A8" w:rsidRPr="009D77A8" w:rsidRDefault="009D77A8" w:rsidP="009D77A8">
      <w:pPr>
        <w:jc w:val="both"/>
        <w:rPr>
          <w:rFonts w:ascii="Verdana" w:hAnsi="Verdana"/>
          <w:lang w:val="es-PE" w:eastAsia="fr-FR"/>
        </w:rPr>
      </w:pPr>
      <w:r w:rsidRPr="009D77A8">
        <w:rPr>
          <w:rFonts w:ascii="Verdana" w:hAnsi="Verdana"/>
          <w:b/>
          <w:lang w:val="es-PE" w:eastAsia="fr-FR"/>
        </w:rPr>
        <w:t>Opcional:</w:t>
      </w:r>
      <w:r w:rsidRPr="009D77A8">
        <w:rPr>
          <w:rFonts w:ascii="Verdana" w:hAnsi="Verdana"/>
          <w:lang w:val="es-PE" w:eastAsia="fr-FR"/>
        </w:rPr>
        <w:t xml:space="preserve"> excursión a Mont-Tremblant. Esta área de esquí en verano se convierte en un centro de veraneo donde la naturaleza canadiense toma toda su esencia. De Mayo a Octubre, subida en teleférico y almuerzo ligero en la cima de la montaña. Regreso a Montreal.</w:t>
      </w:r>
    </w:p>
    <w:p w14:paraId="2B66BEB5" w14:textId="77777777" w:rsidR="009D77A8" w:rsidRPr="009D77A8" w:rsidRDefault="009D77A8" w:rsidP="009D77A8">
      <w:pPr>
        <w:jc w:val="both"/>
        <w:rPr>
          <w:rFonts w:ascii="Museo Sans 300" w:hAnsi="Museo Sans 300"/>
          <w:lang w:val="es-PE" w:eastAsia="fr-FR"/>
        </w:rPr>
      </w:pPr>
    </w:p>
    <w:p w14:paraId="1FAEE5D2" w14:textId="5F3C883F" w:rsidR="009D77A8" w:rsidRPr="009D77A8" w:rsidRDefault="009D77A8" w:rsidP="009D77A8">
      <w:pPr>
        <w:jc w:val="both"/>
        <w:rPr>
          <w:rFonts w:ascii="Verdana" w:hAnsi="Verdana"/>
          <w:lang w:val="es-PE" w:eastAsia="fr-FR"/>
        </w:rPr>
      </w:pPr>
      <w:r w:rsidRPr="009D77A8">
        <w:rPr>
          <w:rFonts w:ascii="Verdana" w:hAnsi="Verdana"/>
          <w:b/>
          <w:bCs/>
          <w:lang w:val="es-CO"/>
        </w:rPr>
        <w:t>Día 8</w:t>
      </w:r>
      <w:r w:rsidR="00F13D6E">
        <w:rPr>
          <w:rFonts w:ascii="Verdana" w:hAnsi="Verdana"/>
          <w:b/>
          <w:bCs/>
          <w:lang w:val="es-CO"/>
        </w:rPr>
        <w:t xml:space="preserve">: </w:t>
      </w:r>
      <w:r w:rsidRPr="009D77A8">
        <w:rPr>
          <w:rFonts w:ascii="Verdana" w:hAnsi="Verdana"/>
          <w:b/>
          <w:bCs/>
          <w:lang w:val="es-CO"/>
        </w:rPr>
        <w:t>D</w:t>
      </w:r>
      <w:r w:rsidR="00F13D6E">
        <w:rPr>
          <w:rFonts w:ascii="Verdana" w:hAnsi="Verdana"/>
          <w:b/>
          <w:bCs/>
          <w:lang w:val="es-CO"/>
        </w:rPr>
        <w:t xml:space="preserve">omingo: </w:t>
      </w:r>
      <w:r w:rsidR="00F13D6E" w:rsidRPr="009D77A8">
        <w:rPr>
          <w:rFonts w:ascii="Verdana" w:hAnsi="Verdana"/>
          <w:b/>
          <w:bCs/>
          <w:lang w:val="es-CO"/>
        </w:rPr>
        <w:t xml:space="preserve"> </w:t>
      </w:r>
      <w:r w:rsidR="00F13D6E" w:rsidRPr="009D77A8">
        <w:rPr>
          <w:rFonts w:ascii="Verdana" w:hAnsi="Verdana"/>
          <w:b/>
          <w:lang w:val="es-PE" w:eastAsia="fr-FR"/>
        </w:rPr>
        <w:t>MONTREAL</w:t>
      </w:r>
    </w:p>
    <w:p w14:paraId="13B36862" w14:textId="77777777" w:rsidR="009D77A8" w:rsidRPr="009D77A8" w:rsidRDefault="009D77A8" w:rsidP="009D77A8">
      <w:pPr>
        <w:jc w:val="both"/>
        <w:rPr>
          <w:rFonts w:ascii="Verdana" w:hAnsi="Verdana"/>
          <w:lang w:val="es-PE" w:eastAsia="fr-FR"/>
        </w:rPr>
      </w:pPr>
      <w:r w:rsidRPr="009D77A8">
        <w:rPr>
          <w:rFonts w:ascii="Verdana" w:hAnsi="Verdana"/>
          <w:lang w:val="es-PE" w:eastAsia="fr-FR"/>
        </w:rPr>
        <w:t>Desayuno en el hotel. Traslado al aeropuerto.</w:t>
      </w:r>
    </w:p>
    <w:p w14:paraId="66D75290" w14:textId="3043CDB4" w:rsidR="00C847EC" w:rsidRPr="00A46D79" w:rsidRDefault="00C847EC" w:rsidP="00A46D79">
      <w:pPr>
        <w:keepLines/>
        <w:pBdr>
          <w:bottom w:val="single" w:sz="6" w:space="1" w:color="auto"/>
        </w:pBdr>
        <w:contextualSpacing/>
        <w:jc w:val="both"/>
        <w:rPr>
          <w:rFonts w:ascii="Verdana" w:hAnsi="Verdana"/>
          <w:lang w:val="es-CO"/>
        </w:rPr>
      </w:pPr>
    </w:p>
    <w:p w14:paraId="72515DFF" w14:textId="7CD358C2" w:rsidR="001476DA" w:rsidRPr="00394EE2" w:rsidRDefault="008C769E" w:rsidP="00A46D79">
      <w:pPr>
        <w:widowControl w:val="0"/>
        <w:ind w:left="1416" w:firstLine="708"/>
        <w:rPr>
          <w:rFonts w:ascii="Verdana" w:hAnsi="Verdana"/>
          <w:b/>
          <w:bCs/>
        </w:rPr>
      </w:pPr>
      <w:r>
        <w:rPr>
          <w:rFonts w:ascii="Verdana" w:hAnsi="Verdana"/>
          <w:b/>
          <w:bCs/>
        </w:rPr>
        <w:t xml:space="preserve">      </w:t>
      </w:r>
      <w:r w:rsidR="001476DA"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61E936C2" w14:textId="77777777" w:rsidR="00A46D79" w:rsidRDefault="00A46D79" w:rsidP="001476DA">
      <w:pPr>
        <w:pStyle w:val="Sinespaciado"/>
        <w:rPr>
          <w:rFonts w:ascii="Verdana" w:hAnsi="Verdana"/>
          <w:b/>
          <w:bCs/>
          <w:lang w:val="es-CO"/>
        </w:rPr>
      </w:pPr>
    </w:p>
    <w:p w14:paraId="1F044743" w14:textId="77777777" w:rsidR="00A46D79" w:rsidRDefault="00A46D79" w:rsidP="001476DA">
      <w:pPr>
        <w:pStyle w:val="Sinespaciado"/>
        <w:rPr>
          <w:rFonts w:ascii="Verdana" w:hAnsi="Verdana"/>
          <w:b/>
          <w:bCs/>
          <w:lang w:val="es-CO"/>
        </w:rPr>
      </w:pPr>
    </w:p>
    <w:p w14:paraId="5065B306" w14:textId="77777777" w:rsidR="00A46D79" w:rsidRDefault="00A46D79" w:rsidP="001476DA">
      <w:pPr>
        <w:pStyle w:val="Sinespaciado"/>
        <w:rPr>
          <w:rFonts w:ascii="Verdana" w:hAnsi="Verdana"/>
          <w:b/>
          <w:bCs/>
          <w:lang w:val="es-CO"/>
        </w:rPr>
      </w:pPr>
    </w:p>
    <w:p w14:paraId="43BA1B8D" w14:textId="77777777" w:rsidR="00F13D6E" w:rsidRDefault="00F13D6E" w:rsidP="001476DA">
      <w:pPr>
        <w:pStyle w:val="Sinespaciado"/>
        <w:rPr>
          <w:rFonts w:ascii="Verdana" w:hAnsi="Verdana"/>
          <w:b/>
          <w:bCs/>
          <w:lang w:val="es-CO"/>
        </w:rPr>
      </w:pPr>
    </w:p>
    <w:p w14:paraId="3AF0EB63" w14:textId="77777777" w:rsidR="00F13D6E" w:rsidRDefault="00F13D6E" w:rsidP="001476DA">
      <w:pPr>
        <w:pStyle w:val="Sinespaciado"/>
        <w:rPr>
          <w:rFonts w:ascii="Verdana" w:hAnsi="Verdana"/>
          <w:b/>
          <w:bCs/>
          <w:lang w:val="es-CO"/>
        </w:rPr>
      </w:pPr>
    </w:p>
    <w:p w14:paraId="0B76D405" w14:textId="77777777" w:rsidR="00F13D6E" w:rsidRDefault="00F13D6E" w:rsidP="001476DA">
      <w:pPr>
        <w:pStyle w:val="Sinespaciado"/>
        <w:rPr>
          <w:rFonts w:ascii="Verdana" w:hAnsi="Verdana"/>
          <w:b/>
          <w:bCs/>
          <w:lang w:val="es-CO"/>
        </w:rPr>
      </w:pPr>
    </w:p>
    <w:p w14:paraId="52B8429E" w14:textId="77777777" w:rsidR="00F13D6E" w:rsidRDefault="00F13D6E" w:rsidP="001476DA">
      <w:pPr>
        <w:pStyle w:val="Sinespaciado"/>
        <w:rPr>
          <w:rFonts w:ascii="Verdana" w:hAnsi="Verdana"/>
          <w:b/>
          <w:bCs/>
          <w:lang w:val="es-CO"/>
        </w:rPr>
      </w:pPr>
    </w:p>
    <w:p w14:paraId="3EDFCD36" w14:textId="77777777" w:rsidR="00A46D79" w:rsidRDefault="00A46D79" w:rsidP="001476DA">
      <w:pPr>
        <w:pStyle w:val="Sinespaciado"/>
        <w:rPr>
          <w:rFonts w:ascii="Verdana" w:hAnsi="Verdana"/>
          <w:b/>
          <w:bCs/>
          <w:lang w:val="es-CO"/>
        </w:rPr>
      </w:pPr>
    </w:p>
    <w:p w14:paraId="184EBF27" w14:textId="77777777" w:rsidR="00A46D79" w:rsidRDefault="00A46D79" w:rsidP="001476DA">
      <w:pPr>
        <w:pStyle w:val="Sinespaciado"/>
        <w:rPr>
          <w:rFonts w:ascii="Verdana" w:hAnsi="Verdana"/>
          <w:b/>
          <w:bCs/>
          <w:lang w:val="es-CO"/>
        </w:rPr>
      </w:pPr>
    </w:p>
    <w:p w14:paraId="6DFE8338" w14:textId="77777777" w:rsidR="00A46D79" w:rsidRDefault="00A46D79" w:rsidP="001476DA">
      <w:pPr>
        <w:pStyle w:val="Sinespaciado"/>
        <w:rPr>
          <w:rFonts w:ascii="Verdana" w:hAnsi="Verdana"/>
          <w:b/>
          <w:bCs/>
          <w:lang w:val="es-CO"/>
        </w:rPr>
      </w:pPr>
    </w:p>
    <w:p w14:paraId="1DD26C7A" w14:textId="77777777" w:rsidR="00A46D79" w:rsidRDefault="00A46D79" w:rsidP="001476DA">
      <w:pPr>
        <w:pStyle w:val="Sinespaciado"/>
        <w:rPr>
          <w:rFonts w:ascii="Verdana" w:hAnsi="Verdana"/>
          <w:b/>
          <w:bCs/>
          <w:lang w:val="es-CO"/>
        </w:rPr>
      </w:pPr>
    </w:p>
    <w:p w14:paraId="66FA7AC5" w14:textId="77777777" w:rsidR="00A46D79" w:rsidRDefault="00A46D79" w:rsidP="001476DA">
      <w:pPr>
        <w:pStyle w:val="Sinespaciado"/>
        <w:rPr>
          <w:rFonts w:ascii="Verdana" w:hAnsi="Verdana"/>
          <w:b/>
          <w:bCs/>
          <w:lang w:val="es-CO"/>
        </w:rPr>
      </w:pPr>
    </w:p>
    <w:p w14:paraId="141F68E0" w14:textId="77777777" w:rsidR="00A46D79" w:rsidRDefault="00A46D79" w:rsidP="001476DA">
      <w:pPr>
        <w:pStyle w:val="Sinespaciado"/>
        <w:rPr>
          <w:rFonts w:ascii="Verdana" w:hAnsi="Verdana"/>
          <w:b/>
          <w:bCs/>
          <w:lang w:val="es-CO"/>
        </w:rPr>
      </w:pPr>
    </w:p>
    <w:p w14:paraId="6C4B86F6" w14:textId="77777777" w:rsidR="00A46D79" w:rsidRDefault="00A46D79" w:rsidP="001476DA">
      <w:pPr>
        <w:pStyle w:val="Sinespaciado"/>
        <w:rPr>
          <w:rFonts w:ascii="Verdana" w:hAnsi="Verdana"/>
          <w:b/>
          <w:bCs/>
          <w:lang w:val="es-CO"/>
        </w:rPr>
      </w:pPr>
    </w:p>
    <w:p w14:paraId="248AA5C2" w14:textId="77777777" w:rsidR="00A46D79" w:rsidRDefault="00A46D79"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501DAA" w14:paraId="472ED47A" w14:textId="77777777" w:rsidTr="0017174E">
        <w:trPr>
          <w:trHeight w:val="308"/>
        </w:trPr>
        <w:tc>
          <w:tcPr>
            <w:tcW w:w="3149" w:type="dxa"/>
            <w:vAlign w:val="center"/>
          </w:tcPr>
          <w:p w14:paraId="78B4D9E9" w14:textId="059FA131" w:rsidR="007B5820" w:rsidRPr="007B5820" w:rsidRDefault="00F13D6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TORONTO</w:t>
            </w:r>
            <w:r w:rsidR="0017174E">
              <w:rPr>
                <w:rFonts w:ascii="Verdana" w:hAnsi="Verdana" w:cs="Calibri"/>
                <w:color w:val="000000"/>
                <w:sz w:val="18"/>
                <w:szCs w:val="18"/>
                <w:lang w:val="es-CO" w:eastAsia="es-CO"/>
              </w:rPr>
              <w:t xml:space="preserve"> </w:t>
            </w:r>
          </w:p>
        </w:tc>
        <w:tc>
          <w:tcPr>
            <w:tcW w:w="6021" w:type="dxa"/>
            <w:vAlign w:val="bottom"/>
          </w:tcPr>
          <w:p w14:paraId="4D18B043" w14:textId="0918DFB2" w:rsidR="007B5820" w:rsidRPr="00A46D79" w:rsidRDefault="00F13D6E" w:rsidP="007B5820">
            <w:pPr>
              <w:suppressAutoHyphens w:val="0"/>
              <w:jc w:val="center"/>
              <w:rPr>
                <w:rFonts w:ascii="Verdana" w:hAnsi="Verdana" w:cs="Calibri"/>
                <w:color w:val="000000"/>
                <w:sz w:val="18"/>
                <w:szCs w:val="18"/>
                <w:lang w:val="de-DE" w:eastAsia="es-CO"/>
              </w:rPr>
            </w:pPr>
            <w:r>
              <w:rPr>
                <w:rFonts w:ascii="Verdana" w:hAnsi="Verdana" w:cs="Calibri"/>
                <w:color w:val="000000"/>
                <w:sz w:val="18"/>
                <w:szCs w:val="18"/>
                <w:lang w:val="de-DE" w:eastAsia="es-CO"/>
              </w:rPr>
              <w:t>CHELSEA</w:t>
            </w:r>
          </w:p>
        </w:tc>
      </w:tr>
      <w:tr w:rsidR="007B5820" w:rsidRPr="00C847EC" w14:paraId="66F6914F" w14:textId="77777777" w:rsidTr="0017174E">
        <w:trPr>
          <w:trHeight w:val="308"/>
        </w:trPr>
        <w:tc>
          <w:tcPr>
            <w:tcW w:w="3149" w:type="dxa"/>
            <w:vAlign w:val="center"/>
          </w:tcPr>
          <w:p w14:paraId="6A9A39DD" w14:textId="7CAF07B6" w:rsidR="007B5820" w:rsidRPr="007B5820" w:rsidRDefault="00F13D6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NIAGARA FALLS</w:t>
            </w:r>
          </w:p>
        </w:tc>
        <w:tc>
          <w:tcPr>
            <w:tcW w:w="6021" w:type="dxa"/>
            <w:vAlign w:val="bottom"/>
          </w:tcPr>
          <w:p w14:paraId="39AAC28E" w14:textId="245938FC" w:rsidR="007B5820" w:rsidRPr="00C847EC" w:rsidRDefault="00F13D6E" w:rsidP="0017174E">
            <w:pPr>
              <w:suppressAutoHyphens w:val="0"/>
              <w:jc w:val="center"/>
              <w:rPr>
                <w:rFonts w:ascii="Verdana" w:hAnsi="Verdana" w:cs="Calibri"/>
                <w:color w:val="000000"/>
                <w:sz w:val="18"/>
                <w:szCs w:val="18"/>
                <w:lang w:val="de-DE" w:eastAsia="es-CO"/>
              </w:rPr>
            </w:pPr>
            <w:r w:rsidRPr="00F13D6E">
              <w:rPr>
                <w:rFonts w:ascii="Verdana" w:hAnsi="Verdana" w:cs="Calibri"/>
                <w:color w:val="000000"/>
                <w:sz w:val="18"/>
                <w:szCs w:val="18"/>
                <w:lang w:val="de-DE" w:eastAsia="es-CO"/>
              </w:rPr>
              <w:t>BROCK HOTEL (en Canadá)</w:t>
            </w:r>
          </w:p>
        </w:tc>
      </w:tr>
      <w:tr w:rsidR="007B5820" w:rsidRPr="007B5820" w14:paraId="7C04215A" w14:textId="77777777" w:rsidTr="0017174E">
        <w:trPr>
          <w:trHeight w:val="308"/>
        </w:trPr>
        <w:tc>
          <w:tcPr>
            <w:tcW w:w="3149" w:type="dxa"/>
            <w:vAlign w:val="center"/>
          </w:tcPr>
          <w:p w14:paraId="1C3167BB" w14:textId="2E5F04F0" w:rsidR="007B5820" w:rsidRPr="007B5820" w:rsidRDefault="00F13D6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OTTAWA</w:t>
            </w:r>
            <w:r w:rsidR="0017174E">
              <w:rPr>
                <w:rFonts w:ascii="Verdana" w:hAnsi="Verdana" w:cs="Calibri"/>
                <w:color w:val="000000"/>
                <w:sz w:val="18"/>
                <w:szCs w:val="18"/>
                <w:lang w:val="es-CO" w:eastAsia="es-CO"/>
              </w:rPr>
              <w:t xml:space="preserve"> </w:t>
            </w:r>
          </w:p>
        </w:tc>
        <w:tc>
          <w:tcPr>
            <w:tcW w:w="6021" w:type="dxa"/>
            <w:vAlign w:val="bottom"/>
          </w:tcPr>
          <w:p w14:paraId="2E653738" w14:textId="3A27C546" w:rsidR="007B5820" w:rsidRPr="00F13D6E" w:rsidRDefault="00F13D6E" w:rsidP="007B5820">
            <w:pPr>
              <w:suppressAutoHyphens w:val="0"/>
              <w:jc w:val="center"/>
              <w:rPr>
                <w:rFonts w:ascii="Verdana" w:hAnsi="Verdana" w:cs="Calibri"/>
                <w:color w:val="000000"/>
                <w:sz w:val="18"/>
                <w:szCs w:val="18"/>
                <w:lang w:val="es-CO" w:eastAsia="es-CO"/>
              </w:rPr>
            </w:pPr>
            <w:r w:rsidRPr="00F13D6E">
              <w:rPr>
                <w:rFonts w:ascii="Verdana" w:hAnsi="Verdana"/>
                <w:sz w:val="18"/>
                <w:szCs w:val="18"/>
              </w:rPr>
              <w:t>COURTYARD OTTAWA DOWNTOWN</w:t>
            </w:r>
          </w:p>
        </w:tc>
      </w:tr>
      <w:tr w:rsidR="007B5820" w:rsidRPr="00C847EC" w14:paraId="4BE0710A" w14:textId="77777777" w:rsidTr="0017174E">
        <w:trPr>
          <w:trHeight w:val="308"/>
        </w:trPr>
        <w:tc>
          <w:tcPr>
            <w:tcW w:w="3149" w:type="dxa"/>
            <w:vAlign w:val="center"/>
          </w:tcPr>
          <w:p w14:paraId="45807ADF" w14:textId="71C74678" w:rsidR="007B5820" w:rsidRPr="007B5820" w:rsidRDefault="00F13D6E"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QUEBEC</w:t>
            </w:r>
          </w:p>
        </w:tc>
        <w:tc>
          <w:tcPr>
            <w:tcW w:w="6021" w:type="dxa"/>
            <w:vAlign w:val="bottom"/>
          </w:tcPr>
          <w:p w14:paraId="6CF69C8B" w14:textId="1FBEA466" w:rsidR="007B5820" w:rsidRPr="00F13D6E" w:rsidRDefault="00BE77F3" w:rsidP="007B5820">
            <w:pPr>
              <w:suppressAutoHyphens w:val="0"/>
              <w:jc w:val="center"/>
              <w:rPr>
                <w:rFonts w:ascii="Verdana" w:hAnsi="Verdana" w:cs="Calibri"/>
                <w:color w:val="000000"/>
                <w:sz w:val="18"/>
                <w:szCs w:val="18"/>
                <w:lang w:val="de-DE" w:eastAsia="es-CO"/>
              </w:rPr>
            </w:pPr>
            <w:r w:rsidRPr="00F13D6E">
              <w:rPr>
                <w:rFonts w:ascii="Verdana" w:hAnsi="Verdana" w:cs="Calibri"/>
                <w:color w:val="000000"/>
                <w:sz w:val="18"/>
                <w:szCs w:val="18"/>
                <w:lang w:val="de-DE" w:eastAsia="es-CO"/>
              </w:rPr>
              <w:tab/>
            </w:r>
            <w:r w:rsidR="00F13D6E">
              <w:rPr>
                <w:rFonts w:ascii="Verdana" w:hAnsi="Verdana" w:cs="Calibri"/>
                <w:color w:val="000000"/>
                <w:sz w:val="18"/>
                <w:szCs w:val="18"/>
                <w:lang w:val="de-DE" w:eastAsia="es-CO"/>
              </w:rPr>
              <w:t>LE CONCORDE</w:t>
            </w:r>
            <w:r w:rsidR="00F13D6E" w:rsidRPr="00F13D6E">
              <w:rPr>
                <w:rFonts w:ascii="Verdana" w:hAnsi="Verdana" w:cs="Calibri"/>
                <w:color w:val="000000"/>
                <w:sz w:val="18"/>
                <w:szCs w:val="18"/>
                <w:lang w:val="de-DE" w:eastAsia="es-CO"/>
              </w:rPr>
              <w:t xml:space="preserve"> </w:t>
            </w:r>
            <w:r w:rsidR="00F13D6E">
              <w:rPr>
                <w:rFonts w:ascii="Verdana" w:hAnsi="Verdana" w:cs="Calibri"/>
                <w:color w:val="000000"/>
                <w:sz w:val="18"/>
                <w:szCs w:val="18"/>
                <w:lang w:val="de-DE" w:eastAsia="es-CO"/>
              </w:rPr>
              <w:t>HOTEL</w:t>
            </w:r>
          </w:p>
        </w:tc>
      </w:tr>
      <w:tr w:rsidR="00F13D6E" w:rsidRPr="00C847EC" w14:paraId="037CD2FE" w14:textId="77777777" w:rsidTr="00B46F22">
        <w:trPr>
          <w:trHeight w:val="308"/>
        </w:trPr>
        <w:tc>
          <w:tcPr>
            <w:tcW w:w="3149" w:type="dxa"/>
            <w:vAlign w:val="center"/>
          </w:tcPr>
          <w:p w14:paraId="108F656E" w14:textId="5D1E55BD" w:rsidR="00F13D6E" w:rsidRPr="007B5820" w:rsidRDefault="00F13D6E" w:rsidP="00B46F22">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MONTREAL</w:t>
            </w:r>
          </w:p>
        </w:tc>
        <w:tc>
          <w:tcPr>
            <w:tcW w:w="6021" w:type="dxa"/>
            <w:vAlign w:val="bottom"/>
          </w:tcPr>
          <w:p w14:paraId="6832E4B5" w14:textId="1D716C18" w:rsidR="00F13D6E" w:rsidRPr="00F13D6E" w:rsidRDefault="00F13D6E" w:rsidP="00B46F22">
            <w:pPr>
              <w:suppressAutoHyphens w:val="0"/>
              <w:jc w:val="center"/>
              <w:rPr>
                <w:rFonts w:ascii="Verdana" w:hAnsi="Verdana" w:cs="Calibri"/>
                <w:color w:val="000000"/>
                <w:sz w:val="18"/>
                <w:szCs w:val="18"/>
                <w:lang w:val="de-DE" w:eastAsia="es-CO"/>
              </w:rPr>
            </w:pPr>
            <w:r w:rsidRPr="00F13D6E">
              <w:rPr>
                <w:rFonts w:ascii="Verdana" w:hAnsi="Verdana" w:cs="Calibri"/>
                <w:color w:val="000000"/>
                <w:sz w:val="18"/>
                <w:szCs w:val="18"/>
                <w:lang w:val="de-DE" w:eastAsia="es-CO"/>
              </w:rPr>
              <w:tab/>
              <w:t>LE NOUVEL HOTEL</w:t>
            </w:r>
          </w:p>
        </w:tc>
      </w:tr>
    </w:tbl>
    <w:p w14:paraId="345891A9" w14:textId="77777777" w:rsidR="00450F96" w:rsidRDefault="00450F96" w:rsidP="001476DA">
      <w:pPr>
        <w:pStyle w:val="Sinespaciado"/>
        <w:rPr>
          <w:rFonts w:ascii="Verdana" w:hAnsi="Verdana"/>
          <w:b/>
          <w:bCs/>
          <w:lang w:val="es-CO"/>
        </w:rPr>
      </w:pPr>
    </w:p>
    <w:p w14:paraId="351D6561" w14:textId="77777777" w:rsidR="00782FAC" w:rsidRDefault="001476DA" w:rsidP="001476DA">
      <w:pPr>
        <w:pStyle w:val="Sinespaciado"/>
        <w:rPr>
          <w:rFonts w:ascii="Verdana" w:hAnsi="Verdana"/>
          <w:b/>
          <w:bCs/>
          <w:lang w:val="es-CO"/>
        </w:rPr>
      </w:pPr>
      <w:r w:rsidRPr="000D352A">
        <w:rPr>
          <w:rFonts w:ascii="Verdana" w:hAnsi="Verdana"/>
          <w:b/>
          <w:bCs/>
          <w:lang w:val="es-CO"/>
        </w:rPr>
        <w:t>PRECIO</w:t>
      </w:r>
      <w:r w:rsidR="00782FAC">
        <w:rPr>
          <w:rFonts w:ascii="Verdana" w:hAnsi="Verdana"/>
          <w:b/>
          <w:bCs/>
          <w:lang w:val="es-CO"/>
        </w:rPr>
        <w:t>S</w:t>
      </w:r>
      <w:r w:rsidRPr="000D352A">
        <w:rPr>
          <w:rFonts w:ascii="Verdana" w:hAnsi="Verdana"/>
          <w:b/>
          <w:bCs/>
          <w:lang w:val="es-CO"/>
        </w:rPr>
        <w:t xml:space="preserve"> POR PERSONA </w:t>
      </w:r>
      <w:r>
        <w:rPr>
          <w:rFonts w:ascii="Verdana" w:hAnsi="Verdana"/>
          <w:b/>
          <w:bCs/>
          <w:lang w:val="es-CO"/>
        </w:rPr>
        <w:t>EN DOLARES</w:t>
      </w:r>
      <w:r w:rsidR="00782FAC">
        <w:rPr>
          <w:rFonts w:ascii="Verdana" w:hAnsi="Verdana"/>
          <w:b/>
          <w:bCs/>
          <w:lang w:val="es-CO"/>
        </w:rPr>
        <w:t>/</w:t>
      </w:r>
    </w:p>
    <w:p w14:paraId="3BEC417F" w14:textId="17E8A816" w:rsidR="004A1B95" w:rsidRPr="00F13D6E" w:rsidRDefault="00F13D6E" w:rsidP="001476DA">
      <w:pPr>
        <w:pStyle w:val="Sinespaciado"/>
        <w:rPr>
          <w:rFonts w:ascii="Verdana" w:hAnsi="Verdana"/>
          <w:b/>
          <w:bCs/>
          <w:color w:val="000000" w:themeColor="text1"/>
          <w:lang w:val="es-CO"/>
        </w:rPr>
      </w:pPr>
      <w:r w:rsidRPr="00F13D6E">
        <w:rPr>
          <w:rFonts w:ascii="Verdana" w:hAnsi="Verdana"/>
          <w:b/>
          <w:bCs/>
          <w:color w:val="000000" w:themeColor="text1"/>
          <w:lang w:val="es-CO"/>
        </w:rPr>
        <w:t xml:space="preserve">Validez Mayo a </w:t>
      </w:r>
      <w:r w:rsidR="00991C7F">
        <w:rPr>
          <w:rFonts w:ascii="Verdana" w:hAnsi="Verdana"/>
          <w:b/>
          <w:bCs/>
          <w:color w:val="000000" w:themeColor="text1"/>
          <w:lang w:val="es-CO"/>
        </w:rPr>
        <w:t>Noviembre</w:t>
      </w:r>
      <w:r w:rsidRPr="00F13D6E">
        <w:rPr>
          <w:rFonts w:ascii="Verdana" w:hAnsi="Verdana"/>
          <w:b/>
          <w:bCs/>
          <w:color w:val="000000" w:themeColor="text1"/>
          <w:lang w:val="es-CO"/>
        </w:rPr>
        <w:t xml:space="preserve"> de 2026</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BE77F3" w14:paraId="55931B59" w14:textId="77777777" w:rsidTr="00782FAC">
        <w:trPr>
          <w:trHeight w:val="428"/>
        </w:trPr>
        <w:tc>
          <w:tcPr>
            <w:tcW w:w="1482" w:type="dxa"/>
          </w:tcPr>
          <w:p w14:paraId="15CC09EE" w14:textId="29F34FC9"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FA5B226" w14:textId="5F6E7DE3"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0A36707D" w14:textId="6A9A3FFB"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22B0289C" w14:textId="67FEA16C" w:rsidR="00BE77F3" w:rsidRDefault="00BE77F3" w:rsidP="00BE77F3">
            <w:pPr>
              <w:pStyle w:val="Sinespaciado"/>
              <w:rPr>
                <w:rFonts w:ascii="Verdana" w:hAnsi="Verdana"/>
                <w:b/>
                <w:bCs/>
                <w:lang w:val="es-CO"/>
              </w:rPr>
            </w:pPr>
          </w:p>
        </w:tc>
        <w:tc>
          <w:tcPr>
            <w:tcW w:w="1286" w:type="dxa"/>
            <w:vAlign w:val="bottom"/>
          </w:tcPr>
          <w:p w14:paraId="11FB63B4"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5B12A31D" w14:textId="7C37D587" w:rsidR="00BE77F3" w:rsidRDefault="00BE77F3" w:rsidP="00BE77F3">
            <w:pPr>
              <w:pStyle w:val="Sinespaciado"/>
              <w:rPr>
                <w:rFonts w:ascii="Verdana" w:hAnsi="Verdana"/>
                <w:b/>
                <w:bCs/>
                <w:lang w:val="es-CO"/>
              </w:rPr>
            </w:pPr>
          </w:p>
        </w:tc>
        <w:tc>
          <w:tcPr>
            <w:tcW w:w="1571" w:type="dxa"/>
            <w:vAlign w:val="bottom"/>
          </w:tcPr>
          <w:p w14:paraId="714F1988"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5088372" w14:textId="0507A996" w:rsidR="00BE77F3" w:rsidRDefault="00BE77F3" w:rsidP="00BE77F3">
            <w:pPr>
              <w:pStyle w:val="Sinespaciado"/>
              <w:rPr>
                <w:rFonts w:ascii="Verdana" w:hAnsi="Verdana"/>
                <w:b/>
                <w:bCs/>
                <w:lang w:val="es-CO"/>
              </w:rPr>
            </w:pPr>
          </w:p>
        </w:tc>
        <w:tc>
          <w:tcPr>
            <w:tcW w:w="2000" w:type="dxa"/>
            <w:vAlign w:val="bottom"/>
          </w:tcPr>
          <w:p w14:paraId="192BC659" w14:textId="3DBD1EC9"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A87CD1">
              <w:rPr>
                <w:rFonts w:ascii="Calibri" w:hAnsi="Calibri" w:cs="Calibri"/>
                <w:b/>
                <w:bCs/>
                <w:color w:val="000000"/>
                <w:sz w:val="22"/>
                <w:szCs w:val="22"/>
                <w:lang w:val="es-CO" w:eastAsia="es-CO"/>
              </w:rPr>
              <w:t>1</w:t>
            </w:r>
            <w:r w:rsidRPr="0017174E">
              <w:rPr>
                <w:rFonts w:ascii="Calibri" w:hAnsi="Calibri" w:cs="Calibri"/>
                <w:b/>
                <w:bCs/>
                <w:color w:val="000000"/>
                <w:sz w:val="22"/>
                <w:szCs w:val="22"/>
                <w:lang w:val="es-CO" w:eastAsia="es-CO"/>
              </w:rPr>
              <w:t xml:space="preserve"> años)</w:t>
            </w:r>
          </w:p>
          <w:p w14:paraId="62A7AC8A" w14:textId="1201979E" w:rsidR="00BE77F3" w:rsidRDefault="00BE77F3" w:rsidP="00BE77F3">
            <w:pPr>
              <w:pStyle w:val="Sinespaciado"/>
              <w:rPr>
                <w:rFonts w:ascii="Verdana" w:hAnsi="Verdana"/>
                <w:b/>
                <w:bCs/>
                <w:lang w:val="es-CO"/>
              </w:rPr>
            </w:pPr>
          </w:p>
        </w:tc>
      </w:tr>
      <w:tr w:rsidR="00A87CD1" w:rsidRPr="00A87CD1" w14:paraId="15D417D8" w14:textId="77777777" w:rsidTr="00782FAC">
        <w:trPr>
          <w:trHeight w:val="278"/>
        </w:trPr>
        <w:tc>
          <w:tcPr>
            <w:tcW w:w="1482" w:type="dxa"/>
          </w:tcPr>
          <w:p w14:paraId="078D10C8" w14:textId="77C24C4C" w:rsidR="00BE77F3" w:rsidRPr="00A87CD1" w:rsidRDefault="00782FAC" w:rsidP="00BE77F3">
            <w:pPr>
              <w:pStyle w:val="Sinespaciado"/>
              <w:rPr>
                <w:rFonts w:asciiTheme="minorHAnsi" w:hAnsiTheme="minorHAnsi" w:cstheme="minorHAnsi"/>
                <w:b/>
                <w:bCs/>
                <w:lang w:val="es-CO"/>
              </w:rPr>
            </w:pPr>
            <w:r w:rsidRPr="00A87CD1">
              <w:rPr>
                <w:rFonts w:asciiTheme="minorHAnsi" w:hAnsiTheme="minorHAnsi" w:cstheme="minorHAnsi"/>
                <w:b/>
                <w:bCs/>
                <w:lang w:val="es-CO"/>
              </w:rPr>
              <w:t>USD 3.6</w:t>
            </w:r>
            <w:r w:rsidR="00A87CD1">
              <w:rPr>
                <w:rFonts w:asciiTheme="minorHAnsi" w:hAnsiTheme="minorHAnsi" w:cstheme="minorHAnsi"/>
                <w:b/>
                <w:bCs/>
                <w:lang w:val="es-CO"/>
              </w:rPr>
              <w:t>89</w:t>
            </w:r>
          </w:p>
        </w:tc>
        <w:tc>
          <w:tcPr>
            <w:tcW w:w="1227" w:type="dxa"/>
          </w:tcPr>
          <w:p w14:paraId="49C98E44" w14:textId="37F0E88A" w:rsidR="00BE77F3" w:rsidRPr="00A87CD1" w:rsidRDefault="00782FAC" w:rsidP="00BE77F3">
            <w:pPr>
              <w:pStyle w:val="Sinespaciado"/>
              <w:rPr>
                <w:rFonts w:ascii="Verdana" w:hAnsi="Verdana"/>
                <w:b/>
                <w:bCs/>
                <w:lang w:val="es-CO"/>
              </w:rPr>
            </w:pPr>
            <w:r w:rsidRPr="00A87CD1">
              <w:rPr>
                <w:rFonts w:asciiTheme="minorHAnsi" w:hAnsiTheme="minorHAnsi" w:cstheme="minorHAnsi"/>
                <w:b/>
                <w:bCs/>
                <w:lang w:val="es-CO"/>
              </w:rPr>
              <w:t>USD 2.</w:t>
            </w:r>
            <w:r w:rsidR="00A87CD1">
              <w:rPr>
                <w:rFonts w:asciiTheme="minorHAnsi" w:hAnsiTheme="minorHAnsi" w:cstheme="minorHAnsi"/>
                <w:b/>
                <w:bCs/>
                <w:lang w:val="es-CO"/>
              </w:rPr>
              <w:t>659</w:t>
            </w:r>
          </w:p>
        </w:tc>
        <w:tc>
          <w:tcPr>
            <w:tcW w:w="1428" w:type="dxa"/>
          </w:tcPr>
          <w:p w14:paraId="546396BA" w14:textId="16771A3C" w:rsidR="00BE77F3" w:rsidRPr="00A87CD1" w:rsidRDefault="00782FAC" w:rsidP="00BE77F3">
            <w:pPr>
              <w:pStyle w:val="Sinespaciado"/>
              <w:rPr>
                <w:rFonts w:ascii="Verdana" w:hAnsi="Verdana"/>
                <w:b/>
                <w:bCs/>
                <w:lang w:val="es-CO"/>
              </w:rPr>
            </w:pPr>
            <w:r w:rsidRPr="00A87CD1">
              <w:rPr>
                <w:rFonts w:asciiTheme="minorHAnsi" w:hAnsiTheme="minorHAnsi" w:cstheme="minorHAnsi"/>
                <w:b/>
                <w:bCs/>
                <w:lang w:val="es-CO"/>
              </w:rPr>
              <w:t>USD 2.</w:t>
            </w:r>
            <w:r w:rsidR="00A87CD1">
              <w:rPr>
                <w:rFonts w:asciiTheme="minorHAnsi" w:hAnsiTheme="minorHAnsi" w:cstheme="minorHAnsi"/>
                <w:b/>
                <w:bCs/>
                <w:lang w:val="es-CO"/>
              </w:rPr>
              <w:t>659</w:t>
            </w:r>
          </w:p>
        </w:tc>
        <w:tc>
          <w:tcPr>
            <w:tcW w:w="1286" w:type="dxa"/>
          </w:tcPr>
          <w:p w14:paraId="0B9A371D" w14:textId="73069E62" w:rsidR="00BE77F3" w:rsidRPr="00A87CD1" w:rsidRDefault="00782FAC" w:rsidP="00BE77F3">
            <w:pPr>
              <w:pStyle w:val="Sinespaciado"/>
              <w:rPr>
                <w:rFonts w:ascii="Verdana" w:hAnsi="Verdana"/>
                <w:b/>
                <w:bCs/>
                <w:lang w:val="es-CO"/>
              </w:rPr>
            </w:pPr>
            <w:r w:rsidRPr="00A87CD1">
              <w:rPr>
                <w:rFonts w:asciiTheme="minorHAnsi" w:hAnsiTheme="minorHAnsi" w:cstheme="minorHAnsi"/>
                <w:b/>
                <w:bCs/>
                <w:lang w:val="es-CO"/>
              </w:rPr>
              <w:t>USD 2.</w:t>
            </w:r>
            <w:r w:rsidR="00A87CD1">
              <w:rPr>
                <w:rFonts w:asciiTheme="minorHAnsi" w:hAnsiTheme="minorHAnsi" w:cstheme="minorHAnsi"/>
                <w:b/>
                <w:bCs/>
                <w:lang w:val="es-CO"/>
              </w:rPr>
              <w:t>369</w:t>
            </w:r>
          </w:p>
        </w:tc>
        <w:tc>
          <w:tcPr>
            <w:tcW w:w="1571" w:type="dxa"/>
          </w:tcPr>
          <w:p w14:paraId="36410956" w14:textId="58537C42" w:rsidR="00BE77F3" w:rsidRPr="00A87CD1" w:rsidRDefault="00782FAC" w:rsidP="00BE77F3">
            <w:pPr>
              <w:pStyle w:val="Sinespaciado"/>
              <w:rPr>
                <w:rFonts w:ascii="Verdana" w:hAnsi="Verdana"/>
                <w:b/>
                <w:bCs/>
                <w:lang w:val="es-CO"/>
              </w:rPr>
            </w:pPr>
            <w:r w:rsidRPr="00A87CD1">
              <w:rPr>
                <w:rFonts w:asciiTheme="minorHAnsi" w:hAnsiTheme="minorHAnsi" w:cstheme="minorHAnsi"/>
                <w:b/>
                <w:bCs/>
                <w:lang w:val="es-CO"/>
              </w:rPr>
              <w:t xml:space="preserve">USD </w:t>
            </w:r>
            <w:r w:rsidR="00A87CD1">
              <w:rPr>
                <w:rFonts w:asciiTheme="minorHAnsi" w:hAnsiTheme="minorHAnsi" w:cstheme="minorHAnsi"/>
                <w:b/>
                <w:bCs/>
                <w:lang w:val="es-CO"/>
              </w:rPr>
              <w:t>2.239</w:t>
            </w:r>
          </w:p>
        </w:tc>
        <w:tc>
          <w:tcPr>
            <w:tcW w:w="2000" w:type="dxa"/>
          </w:tcPr>
          <w:p w14:paraId="780FEBC0" w14:textId="645A8D3F" w:rsidR="00BE77F3" w:rsidRPr="00A87CD1" w:rsidRDefault="00782FAC" w:rsidP="00BE77F3">
            <w:pPr>
              <w:pStyle w:val="Sinespaciado"/>
              <w:rPr>
                <w:rFonts w:ascii="Verdana" w:hAnsi="Verdana"/>
                <w:b/>
                <w:bCs/>
                <w:lang w:val="es-CO"/>
              </w:rPr>
            </w:pPr>
            <w:r w:rsidRPr="00A87CD1">
              <w:rPr>
                <w:rFonts w:asciiTheme="minorHAnsi" w:hAnsiTheme="minorHAnsi" w:cstheme="minorHAnsi"/>
                <w:b/>
                <w:bCs/>
                <w:lang w:val="es-CO"/>
              </w:rPr>
              <w:t>USD 1.</w:t>
            </w:r>
            <w:r w:rsidR="00A87CD1">
              <w:rPr>
                <w:rFonts w:asciiTheme="minorHAnsi" w:hAnsiTheme="minorHAnsi" w:cstheme="minorHAnsi"/>
                <w:b/>
                <w:bCs/>
                <w:lang w:val="es-CO"/>
              </w:rPr>
              <w:t>089</w:t>
            </w:r>
          </w:p>
        </w:tc>
      </w:tr>
    </w:tbl>
    <w:p w14:paraId="07BE7C8A" w14:textId="6E2F6E24" w:rsidR="00A87CD1" w:rsidRDefault="00A87CD1" w:rsidP="00A87CD1">
      <w:pPr>
        <w:pStyle w:val="Sinespaciado"/>
        <w:rPr>
          <w:rFonts w:ascii="Verdana" w:hAnsi="Verdana"/>
          <w:b/>
        </w:rPr>
      </w:pPr>
      <w:r>
        <w:rPr>
          <w:rFonts w:ascii="Verdana" w:hAnsi="Verdana"/>
          <w:lang w:val="es-CO"/>
        </w:rPr>
        <w:t xml:space="preserve">Adicionar el 2% del Fee Bancario </w:t>
      </w:r>
    </w:p>
    <w:p w14:paraId="31BC81B1" w14:textId="77777777" w:rsidR="00A87CD1" w:rsidRPr="00A87CD1" w:rsidRDefault="00A87CD1" w:rsidP="00A87CD1">
      <w:pPr>
        <w:jc w:val="both"/>
        <w:rPr>
          <w:rFonts w:ascii="Verdana" w:hAnsi="Verdana"/>
          <w:b/>
          <w:bCs/>
          <w:color w:val="2F5496" w:themeColor="accent1" w:themeShade="BF"/>
        </w:rPr>
      </w:pPr>
    </w:p>
    <w:p w14:paraId="2A9633FE" w14:textId="7B447DE4" w:rsidR="000330B1" w:rsidRDefault="00A87CD1" w:rsidP="001476DA">
      <w:pPr>
        <w:pStyle w:val="Sinespaciado"/>
        <w:rPr>
          <w:rFonts w:ascii="Verdana" w:hAnsi="Verdana"/>
          <w:b/>
          <w:bCs/>
          <w:lang w:val="es-CO"/>
        </w:rPr>
      </w:pPr>
      <w:r>
        <w:rPr>
          <w:rFonts w:ascii="Verdana" w:hAnsi="Verdana"/>
          <w:b/>
          <w:bCs/>
          <w:lang w:val="es-CO"/>
        </w:rPr>
        <w:t>SUPLEMENTOS:</w:t>
      </w:r>
    </w:p>
    <w:p w14:paraId="146BADA5" w14:textId="77777777" w:rsidR="00A87CD1" w:rsidRDefault="00A87CD1" w:rsidP="00F13D6E">
      <w:pPr>
        <w:jc w:val="both"/>
        <w:rPr>
          <w:rFonts w:ascii="Museo Sans 300" w:hAnsi="Museo Sans 300"/>
          <w:b/>
          <w:color w:val="2E74B5" w:themeColor="accent5" w:themeShade="BF"/>
          <w:szCs w:val="18"/>
        </w:rPr>
      </w:pPr>
    </w:p>
    <w:p w14:paraId="2E47F9B8" w14:textId="0D9E7E9B" w:rsidR="00F13D6E" w:rsidRPr="00A87CD1" w:rsidRDefault="00F13D6E" w:rsidP="00F13D6E">
      <w:pPr>
        <w:jc w:val="both"/>
        <w:rPr>
          <w:rFonts w:ascii="Verdana" w:hAnsi="Verdana"/>
          <w:b/>
          <w:color w:val="2E74B5" w:themeColor="accent5" w:themeShade="BF"/>
          <w:szCs w:val="18"/>
        </w:rPr>
      </w:pPr>
      <w:r w:rsidRPr="00A87CD1">
        <w:rPr>
          <w:rFonts w:ascii="Verdana" w:hAnsi="Verdana"/>
          <w:b/>
          <w:color w:val="2E74B5" w:themeColor="accent5" w:themeShade="BF"/>
          <w:szCs w:val="18"/>
        </w:rPr>
        <w:t>*Suplemento por evento preestablecido (FIFA 2026)</w:t>
      </w:r>
    </w:p>
    <w:p w14:paraId="27C4BD32" w14:textId="5AAFEFE6" w:rsidR="00A87CD1" w:rsidRPr="00A87CD1" w:rsidRDefault="00A87CD1" w:rsidP="00F13D6E">
      <w:pPr>
        <w:jc w:val="both"/>
        <w:rPr>
          <w:rFonts w:ascii="Verdana" w:hAnsi="Verdana"/>
          <w:b/>
          <w:color w:val="2E74B5" w:themeColor="accent5" w:themeShade="BF"/>
          <w:szCs w:val="18"/>
        </w:rPr>
      </w:pPr>
      <w:r w:rsidRPr="00A87CD1">
        <w:rPr>
          <w:rFonts w:ascii="Verdana" w:hAnsi="Verdana"/>
          <w:b/>
          <w:color w:val="2E74B5" w:themeColor="accent5" w:themeShade="BF"/>
          <w:szCs w:val="18"/>
        </w:rPr>
        <w:t>Salidas Junio 14 y 21</w:t>
      </w:r>
    </w:p>
    <w:p w14:paraId="1A43D792" w14:textId="351D08FD" w:rsidR="00F13D6E" w:rsidRPr="00A87CD1" w:rsidRDefault="00F13D6E" w:rsidP="00F13D6E">
      <w:pPr>
        <w:pStyle w:val="Prrafodelista"/>
        <w:numPr>
          <w:ilvl w:val="0"/>
          <w:numId w:val="8"/>
        </w:numPr>
        <w:suppressAutoHyphens w:val="0"/>
        <w:jc w:val="both"/>
        <w:rPr>
          <w:rFonts w:ascii="Verdana" w:hAnsi="Verdana"/>
          <w:b/>
          <w:color w:val="2E74B5" w:themeColor="accent5" w:themeShade="BF"/>
          <w:szCs w:val="18"/>
        </w:rPr>
      </w:pPr>
      <w:r w:rsidRPr="00A87CD1">
        <w:rPr>
          <w:rFonts w:ascii="Verdana" w:hAnsi="Verdana"/>
          <w:b/>
          <w:color w:val="2E74B5" w:themeColor="accent5" w:themeShade="BF"/>
          <w:szCs w:val="18"/>
        </w:rPr>
        <w:t>USD 310</w:t>
      </w:r>
      <w:r w:rsidR="00237BD7">
        <w:rPr>
          <w:rFonts w:ascii="Verdana" w:hAnsi="Verdana"/>
          <w:b/>
          <w:color w:val="2E74B5" w:themeColor="accent5" w:themeShade="BF"/>
          <w:szCs w:val="18"/>
        </w:rPr>
        <w:t xml:space="preserve"> NETO</w:t>
      </w:r>
      <w:r w:rsidRPr="00A87CD1">
        <w:rPr>
          <w:rFonts w:ascii="Verdana" w:hAnsi="Verdana"/>
          <w:b/>
          <w:color w:val="2E74B5" w:themeColor="accent5" w:themeShade="BF"/>
          <w:szCs w:val="18"/>
        </w:rPr>
        <w:t xml:space="preserve">  por habitación</w:t>
      </w:r>
    </w:p>
    <w:p w14:paraId="7067054E" w14:textId="77777777" w:rsidR="00A87CD1" w:rsidRPr="00A87CD1" w:rsidRDefault="00A87CD1" w:rsidP="00F13D6E">
      <w:pPr>
        <w:jc w:val="both"/>
        <w:rPr>
          <w:rFonts w:ascii="Verdana" w:hAnsi="Verdana"/>
          <w:b/>
          <w:color w:val="7030A0"/>
          <w:szCs w:val="18"/>
        </w:rPr>
      </w:pPr>
    </w:p>
    <w:p w14:paraId="37B1B9B5" w14:textId="32A7F4CC" w:rsidR="00F13D6E" w:rsidRPr="00A87CD1" w:rsidRDefault="00F13D6E" w:rsidP="00F13D6E">
      <w:pPr>
        <w:jc w:val="both"/>
        <w:rPr>
          <w:rFonts w:ascii="Verdana" w:hAnsi="Verdana"/>
          <w:b/>
          <w:color w:val="7030A0"/>
          <w:szCs w:val="18"/>
        </w:rPr>
      </w:pPr>
      <w:r w:rsidRPr="00A87CD1">
        <w:rPr>
          <w:rFonts w:ascii="Verdana" w:hAnsi="Verdana"/>
          <w:b/>
          <w:color w:val="7030A0"/>
          <w:szCs w:val="18"/>
        </w:rPr>
        <w:t>*Suplemento por evento preestablecido (FIFA 2026)</w:t>
      </w:r>
    </w:p>
    <w:p w14:paraId="287E4974" w14:textId="72794DBB" w:rsidR="00A87CD1" w:rsidRPr="00A87CD1" w:rsidRDefault="00A87CD1" w:rsidP="00F13D6E">
      <w:pPr>
        <w:jc w:val="both"/>
        <w:rPr>
          <w:rFonts w:ascii="Verdana" w:hAnsi="Verdana"/>
          <w:b/>
          <w:color w:val="7030A0"/>
          <w:szCs w:val="18"/>
        </w:rPr>
      </w:pPr>
      <w:r w:rsidRPr="00A87CD1">
        <w:rPr>
          <w:rFonts w:ascii="Verdana" w:hAnsi="Verdana"/>
          <w:b/>
          <w:color w:val="7030A0"/>
          <w:szCs w:val="18"/>
        </w:rPr>
        <w:t>Salida Junio 28</w:t>
      </w:r>
    </w:p>
    <w:p w14:paraId="382E1B0A" w14:textId="77777777" w:rsidR="00F13D6E" w:rsidRPr="00A87CD1" w:rsidRDefault="00F13D6E" w:rsidP="00F13D6E">
      <w:pPr>
        <w:pStyle w:val="Prrafodelista"/>
        <w:numPr>
          <w:ilvl w:val="0"/>
          <w:numId w:val="8"/>
        </w:numPr>
        <w:suppressAutoHyphens w:val="0"/>
        <w:jc w:val="both"/>
        <w:rPr>
          <w:rFonts w:ascii="Verdana" w:hAnsi="Verdana"/>
          <w:b/>
          <w:color w:val="7030A0"/>
          <w:szCs w:val="18"/>
        </w:rPr>
      </w:pPr>
      <w:r w:rsidRPr="00A87CD1">
        <w:rPr>
          <w:rFonts w:ascii="Verdana" w:hAnsi="Verdana"/>
          <w:b/>
          <w:color w:val="7030A0"/>
          <w:szCs w:val="18"/>
        </w:rPr>
        <w:t>USD 390  NETO por habitación</w:t>
      </w:r>
    </w:p>
    <w:p w14:paraId="207E2D1A" w14:textId="77777777" w:rsidR="00A87CD1" w:rsidRPr="00A87CD1" w:rsidRDefault="00A87CD1" w:rsidP="00F13D6E">
      <w:pPr>
        <w:jc w:val="both"/>
        <w:rPr>
          <w:rFonts w:ascii="Verdana" w:hAnsi="Verdana"/>
          <w:b/>
          <w:color w:val="00B050"/>
          <w:szCs w:val="18"/>
        </w:rPr>
      </w:pPr>
    </w:p>
    <w:p w14:paraId="5BD010A5" w14:textId="34BF0DB8" w:rsidR="00F13D6E" w:rsidRPr="00A87CD1" w:rsidRDefault="00F13D6E" w:rsidP="00F13D6E">
      <w:pPr>
        <w:jc w:val="both"/>
        <w:rPr>
          <w:rFonts w:ascii="Verdana" w:hAnsi="Verdana"/>
          <w:b/>
          <w:color w:val="00B050"/>
          <w:szCs w:val="18"/>
        </w:rPr>
      </w:pPr>
      <w:r w:rsidRPr="00A87CD1">
        <w:rPr>
          <w:rFonts w:ascii="Verdana" w:hAnsi="Verdana"/>
          <w:b/>
          <w:color w:val="00B050"/>
          <w:szCs w:val="18"/>
        </w:rPr>
        <w:t>*Suplemento por evento preestablecido</w:t>
      </w:r>
    </w:p>
    <w:p w14:paraId="43429404" w14:textId="0C29A581" w:rsidR="00A87CD1" w:rsidRPr="00A87CD1" w:rsidRDefault="00A87CD1" w:rsidP="00F13D6E">
      <w:pPr>
        <w:jc w:val="both"/>
        <w:rPr>
          <w:rFonts w:ascii="Verdana" w:hAnsi="Verdana"/>
          <w:b/>
          <w:color w:val="00B050"/>
          <w:szCs w:val="18"/>
        </w:rPr>
      </w:pPr>
      <w:r w:rsidRPr="00A87CD1">
        <w:rPr>
          <w:rFonts w:ascii="Verdana" w:hAnsi="Verdana"/>
          <w:b/>
          <w:color w:val="00B050"/>
          <w:szCs w:val="18"/>
        </w:rPr>
        <w:t xml:space="preserve">Salida Julio 26 y Agosto 09 </w:t>
      </w:r>
    </w:p>
    <w:p w14:paraId="39DAEE89" w14:textId="581B64C1" w:rsidR="00F13D6E" w:rsidRPr="00A87CD1" w:rsidRDefault="00F13D6E" w:rsidP="00F13D6E">
      <w:pPr>
        <w:pStyle w:val="Sinespaciado"/>
        <w:rPr>
          <w:rFonts w:ascii="Verdana" w:hAnsi="Verdana"/>
          <w:b/>
          <w:bCs/>
          <w:color w:val="C45911" w:themeColor="accent2" w:themeShade="BF"/>
          <w:lang w:val="es-CO"/>
        </w:rPr>
      </w:pPr>
      <w:r w:rsidRPr="00A87CD1">
        <w:rPr>
          <w:rFonts w:ascii="Verdana" w:hAnsi="Verdana"/>
          <w:b/>
          <w:color w:val="00B050"/>
          <w:szCs w:val="18"/>
        </w:rPr>
        <w:t>USD 140 USD NETO por habitación</w:t>
      </w:r>
    </w:p>
    <w:p w14:paraId="720E887D" w14:textId="77777777" w:rsidR="009D77A8" w:rsidRPr="00AD55A8" w:rsidRDefault="009D77A8" w:rsidP="009D77A8">
      <w:pPr>
        <w:ind w:left="360"/>
        <w:jc w:val="both"/>
        <w:rPr>
          <w:rFonts w:ascii="Museo Sans 300" w:hAnsi="Museo Sans 300"/>
          <w:b/>
          <w:color w:val="7030A0"/>
          <w:szCs w:val="18"/>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48D4473D" w14:textId="77777777" w:rsidR="00A87CD1" w:rsidRDefault="00A87CD1" w:rsidP="00A87CD1">
      <w:pPr>
        <w:rPr>
          <w:rFonts w:ascii="Verdana" w:hAnsi="Verdana"/>
          <w:bCs/>
        </w:rPr>
      </w:pPr>
      <w:r w:rsidRPr="00A87CD1">
        <w:rPr>
          <w:rFonts w:ascii="Verdana" w:hAnsi="Verdana"/>
          <w:bCs/>
        </w:rPr>
        <w:t xml:space="preserve">7 noches de alojamiento en hoteles de categoría turista </w:t>
      </w:r>
      <w:r>
        <w:rPr>
          <w:rFonts w:ascii="Verdana" w:hAnsi="Verdana"/>
          <w:bCs/>
        </w:rPr>
        <w:t>/</w:t>
      </w:r>
      <w:r w:rsidRPr="00A87CD1">
        <w:rPr>
          <w:rFonts w:ascii="Verdana" w:hAnsi="Verdana"/>
          <w:bCs/>
        </w:rPr>
        <w:t xml:space="preserve">superior y primera. </w:t>
      </w:r>
    </w:p>
    <w:p w14:paraId="13A72FC4" w14:textId="77777777" w:rsidR="00A87CD1" w:rsidRDefault="00A87CD1" w:rsidP="00A87CD1">
      <w:pPr>
        <w:rPr>
          <w:rFonts w:ascii="Verdana" w:hAnsi="Verdana"/>
          <w:bCs/>
        </w:rPr>
      </w:pPr>
      <w:r w:rsidRPr="00A87CD1">
        <w:rPr>
          <w:rFonts w:ascii="Verdana" w:hAnsi="Verdana"/>
          <w:bCs/>
        </w:rPr>
        <w:t xml:space="preserve">7 desayunos una mezcla de continental y de americano. </w:t>
      </w:r>
    </w:p>
    <w:p w14:paraId="12A79F54" w14:textId="77777777" w:rsidR="00A87CD1" w:rsidRDefault="00A87CD1" w:rsidP="00A87CD1">
      <w:pPr>
        <w:rPr>
          <w:rFonts w:ascii="Verdana" w:hAnsi="Verdana"/>
          <w:bCs/>
        </w:rPr>
      </w:pPr>
      <w:r w:rsidRPr="00A87CD1">
        <w:rPr>
          <w:rFonts w:ascii="Verdana" w:hAnsi="Verdana"/>
          <w:bCs/>
        </w:rPr>
        <w:t xml:space="preserve">Transporte en bus de alta comodidad o minibús dependiendo del número de pasajeros. Día 1 y 8 traslado solamente. </w:t>
      </w:r>
    </w:p>
    <w:p w14:paraId="3A908572" w14:textId="77777777" w:rsidR="00A87CD1" w:rsidRDefault="00A87CD1" w:rsidP="00A87CD1">
      <w:pPr>
        <w:rPr>
          <w:rFonts w:ascii="Verdana" w:hAnsi="Verdana"/>
          <w:bCs/>
        </w:rPr>
      </w:pPr>
      <w:r w:rsidRPr="00A87CD1">
        <w:rPr>
          <w:rFonts w:ascii="Verdana" w:hAnsi="Verdana"/>
          <w:bCs/>
        </w:rPr>
        <w:t xml:space="preserve">Día 5 y 7 transporte </w:t>
      </w:r>
      <w:r w:rsidRPr="00A87CD1">
        <w:rPr>
          <w:rFonts w:ascii="Verdana" w:hAnsi="Verdana"/>
          <w:b/>
        </w:rPr>
        <w:t>NO incluido excepto en las excursiones opcionales.</w:t>
      </w:r>
    </w:p>
    <w:p w14:paraId="6B0050A9" w14:textId="77777777" w:rsidR="00A87CD1" w:rsidRDefault="00A87CD1" w:rsidP="00A87CD1">
      <w:pPr>
        <w:rPr>
          <w:rFonts w:ascii="Verdana" w:hAnsi="Verdana"/>
          <w:bCs/>
        </w:rPr>
      </w:pPr>
      <w:r w:rsidRPr="00A87CD1">
        <w:rPr>
          <w:rFonts w:ascii="Verdana" w:hAnsi="Verdana"/>
          <w:bCs/>
        </w:rPr>
        <w:t xml:space="preserve">Guía acompañante de habla hispana durante todo el recorrido. </w:t>
      </w:r>
    </w:p>
    <w:p w14:paraId="157D2418" w14:textId="77777777" w:rsidR="00A87CD1" w:rsidRDefault="00A87CD1" w:rsidP="00A87CD1">
      <w:pPr>
        <w:rPr>
          <w:rFonts w:ascii="Verdana" w:hAnsi="Verdana"/>
          <w:bCs/>
        </w:rPr>
      </w:pPr>
      <w:r w:rsidRPr="00A87CD1">
        <w:rPr>
          <w:rFonts w:ascii="Verdana" w:hAnsi="Verdana"/>
          <w:bCs/>
        </w:rPr>
        <w:t xml:space="preserve">Las visitas de Toronto, Niágara, Ottawa, Quebec y Montreal comentadas por su guía acompañante o por un guía local. </w:t>
      </w:r>
    </w:p>
    <w:p w14:paraId="7CE32FE4" w14:textId="77777777" w:rsidR="00A87CD1" w:rsidRDefault="00A87CD1" w:rsidP="00A87CD1">
      <w:pPr>
        <w:rPr>
          <w:rFonts w:ascii="Verdana" w:hAnsi="Verdana"/>
          <w:bCs/>
        </w:rPr>
      </w:pPr>
      <w:r w:rsidRPr="00A87CD1">
        <w:rPr>
          <w:rFonts w:ascii="Verdana" w:hAnsi="Verdana"/>
          <w:bCs/>
        </w:rPr>
        <w:t xml:space="preserve">Todas las visitas mencionadas en el itinerario salvo cuando indicado que son visitas opcionales. </w:t>
      </w:r>
    </w:p>
    <w:p w14:paraId="51866E9B" w14:textId="77777777" w:rsidR="00A87CD1" w:rsidRDefault="00A87CD1" w:rsidP="00A87CD1">
      <w:pPr>
        <w:rPr>
          <w:rFonts w:ascii="Verdana" w:hAnsi="Verdana"/>
          <w:bCs/>
        </w:rPr>
      </w:pPr>
      <w:r w:rsidRPr="00A87CD1">
        <w:rPr>
          <w:rFonts w:ascii="Verdana" w:hAnsi="Verdana"/>
          <w:bCs/>
        </w:rPr>
        <w:t>Incluye la excursion en barco «Voyage to the Falls» o los túneles escénicos del Journey Behind the Falls y el crucero por Mil Islas.</w:t>
      </w:r>
    </w:p>
    <w:p w14:paraId="78ADB397" w14:textId="77777777" w:rsidR="00A87CD1" w:rsidRPr="00A87CD1" w:rsidRDefault="00A87CD1" w:rsidP="00A87CD1">
      <w:pPr>
        <w:rPr>
          <w:rFonts w:ascii="Verdana" w:hAnsi="Verdana"/>
          <w:bCs/>
        </w:rPr>
      </w:pPr>
      <w:r w:rsidRPr="00A87CD1">
        <w:rPr>
          <w:rFonts w:ascii="Verdana" w:hAnsi="Verdana"/>
          <w:bCs/>
        </w:rPr>
        <w:t>Todos los impuestos aplicables.</w:t>
      </w:r>
    </w:p>
    <w:p w14:paraId="17E96D47" w14:textId="21975245" w:rsidR="00A87CD1" w:rsidRDefault="00A87CD1" w:rsidP="00A87CD1">
      <w:pPr>
        <w:rPr>
          <w:rFonts w:ascii="Verdana" w:hAnsi="Verdana"/>
          <w:b/>
        </w:rPr>
      </w:pPr>
      <w:r>
        <w:rPr>
          <w:rFonts w:ascii="Verdana" w:hAnsi="Verdana"/>
          <w:b/>
        </w:rPr>
        <w:t>*</w:t>
      </w:r>
      <w:r w:rsidRPr="00A87CD1">
        <w:rPr>
          <w:rFonts w:ascii="Verdana" w:hAnsi="Verdana"/>
          <w:b/>
        </w:rPr>
        <w:t>La tarifa para niños es aplicable para los menores de 12 años acompañados por dos adultos.</w:t>
      </w:r>
      <w:r w:rsidRPr="00A87CD1">
        <w:rPr>
          <w:rFonts w:ascii="Verdana" w:hAnsi="Verdana"/>
          <w:bCs/>
        </w:rPr>
        <w:t xml:space="preserve"> </w:t>
      </w:r>
    </w:p>
    <w:p w14:paraId="579A5FFB" w14:textId="77777777" w:rsidR="00A87CD1" w:rsidRPr="00B0584E" w:rsidRDefault="00A87CD1" w:rsidP="001476DA">
      <w:pPr>
        <w:jc w:val="both"/>
        <w:rPr>
          <w:rFonts w:ascii="Verdana" w:hAnsi="Verdana"/>
          <w:bCs/>
        </w:rPr>
      </w:pPr>
    </w:p>
    <w:p w14:paraId="5F20EC52" w14:textId="77777777" w:rsidR="00B32D52" w:rsidRDefault="00B32D52" w:rsidP="00B32D52">
      <w:pPr>
        <w:jc w:val="both"/>
        <w:rPr>
          <w:rFonts w:ascii="Verdana" w:hAnsi="Verdana"/>
          <w:b/>
          <w:color w:val="C00000"/>
        </w:rPr>
      </w:pPr>
      <w:r w:rsidRPr="00B32D52">
        <w:rPr>
          <w:rFonts w:ascii="Verdana" w:hAnsi="Verdana"/>
          <w:b/>
          <w:color w:val="C00000"/>
        </w:rPr>
        <w:t>Notas:</w:t>
      </w:r>
    </w:p>
    <w:p w14:paraId="4306CC4B" w14:textId="45D7227B" w:rsidR="001943F6" w:rsidRDefault="001943F6" w:rsidP="001943F6">
      <w:pPr>
        <w:jc w:val="both"/>
        <w:rPr>
          <w:rFonts w:ascii="Verdana" w:hAnsi="Verdana"/>
          <w:b/>
          <w:color w:val="C00000"/>
        </w:rPr>
      </w:pPr>
      <w:r w:rsidRPr="001943F6">
        <w:rPr>
          <w:rFonts w:ascii="Verdana" w:hAnsi="Verdana"/>
          <w:b/>
          <w:color w:val="C00000"/>
        </w:rPr>
        <w:t>Sobre los opcionales mencionados en el itinerario, es importante notar que no TODAS estas actividades se pueden hacer en un mismo viaje. Dependiendo del itinerario y del clima, su guía le propondrá en que momento se pueden hacer estas opciones (opcionales), dándole las mejores alternativas. ­Mínimo de participantes puede aplicar.</w:t>
      </w:r>
    </w:p>
    <w:p w14:paraId="36713D1B" w14:textId="77777777" w:rsidR="001943F6" w:rsidRPr="001943F6" w:rsidRDefault="001943F6" w:rsidP="001943F6">
      <w:pPr>
        <w:jc w:val="both"/>
        <w:rPr>
          <w:rFonts w:ascii="Verdana" w:hAnsi="Verdana"/>
          <w:b/>
          <w:color w:val="C00000"/>
        </w:rPr>
      </w:pPr>
    </w:p>
    <w:p w14:paraId="032FCF4A" w14:textId="7C63696E" w:rsidR="001943F6" w:rsidRDefault="001943F6" w:rsidP="001943F6">
      <w:pPr>
        <w:jc w:val="both"/>
        <w:rPr>
          <w:rFonts w:ascii="Verdana" w:hAnsi="Verdana"/>
          <w:b/>
          <w:color w:val="C00000"/>
        </w:rPr>
      </w:pPr>
      <w:r>
        <w:rPr>
          <w:rFonts w:ascii="Verdana" w:hAnsi="Verdana"/>
          <w:b/>
          <w:color w:val="C00000"/>
        </w:rPr>
        <w:t>**</w:t>
      </w:r>
      <w:r w:rsidRPr="001943F6">
        <w:rPr>
          <w:rFonts w:ascii="Verdana" w:hAnsi="Verdana"/>
          <w:b/>
          <w:color w:val="C00000"/>
        </w:rPr>
        <w:t xml:space="preserve">Menores (0-5 años): Se cobra un suplemento de  USD </w:t>
      </w:r>
      <w:r>
        <w:rPr>
          <w:rFonts w:ascii="Verdana" w:hAnsi="Verdana"/>
          <w:b/>
          <w:color w:val="C00000"/>
        </w:rPr>
        <w:t>35</w:t>
      </w:r>
      <w:r w:rsidRPr="001943F6">
        <w:rPr>
          <w:rFonts w:ascii="Verdana" w:hAnsi="Verdana"/>
          <w:b/>
          <w:color w:val="C00000"/>
        </w:rPr>
        <w:t>.00 por el asiento de menor por el traslado en Toronto</w:t>
      </w:r>
      <w:r>
        <w:rPr>
          <w:rFonts w:ascii="Verdana" w:hAnsi="Verdana"/>
          <w:b/>
          <w:color w:val="C00000"/>
        </w:rPr>
        <w:t>**</w:t>
      </w:r>
      <w:r w:rsidRPr="001943F6">
        <w:rPr>
          <w:rFonts w:ascii="Verdana" w:hAnsi="Verdana"/>
          <w:b/>
          <w:color w:val="C00000"/>
        </w:rPr>
        <w:t>.</w:t>
      </w:r>
    </w:p>
    <w:p w14:paraId="6050604C" w14:textId="77777777" w:rsidR="001943F6" w:rsidRDefault="001943F6" w:rsidP="001943F6">
      <w:pPr>
        <w:jc w:val="both"/>
        <w:rPr>
          <w:rFonts w:ascii="Verdana" w:hAnsi="Verdana"/>
          <w:b/>
          <w:color w:val="C00000"/>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5F7642C" w14:textId="77777777" w:rsidR="00D225EF" w:rsidRDefault="00D225EF" w:rsidP="001476DA">
      <w:pPr>
        <w:jc w:val="both"/>
        <w:rPr>
          <w:rFonts w:ascii="Verdana" w:hAnsi="Verdana" w:cs="Verdana"/>
          <w:b/>
          <w:bCs/>
        </w:rPr>
      </w:pPr>
    </w:p>
    <w:p w14:paraId="52EAA791" w14:textId="4D544C13"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SERA RESPONSABILIDAD DEL VIAJERO Y SU AGENCIA DE VIAJES CUMPLIMENTAR TODOS LOS REQUERIMIENTOS SANITARIOS REQUERIDOS PARA ESTE VIAJE YA SEA EN EL PAIS DE DESTINO COMO PAIS DE CONEXION (SI CORRESPONDE). VIAJES CELTOUR DARA INFORMACION BASICA GENERAL ANTICIPADA PERO TENIENDO EN CUENTA LOS CAMBIOS FRECUENTES DE LAS CONDICIONES DE ENTRADA DEBERAN SER CONSULTADAS CONSTANTEMENTE POR PARTE DEL VIAJERO</w:t>
      </w:r>
      <w:r w:rsidRPr="006D3799">
        <w:rPr>
          <w:rFonts w:ascii="Verdana" w:hAnsi="Verdana" w:cs="Verdana"/>
          <w:b/>
          <w:bCs/>
        </w:rPr>
        <w:t>.</w:t>
      </w:r>
    </w:p>
    <w:p w14:paraId="0A39279E" w14:textId="26553F68"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0FBCD527" w14:textId="77777777" w:rsidR="008C769E" w:rsidRDefault="00B6166A" w:rsidP="00B6166A">
      <w:pPr>
        <w:jc w:val="both"/>
        <w:rPr>
          <w:rFonts w:ascii="Verdana" w:hAnsi="Verdana"/>
          <w:b/>
          <w:bCs/>
          <w:lang w:val="es-MX"/>
        </w:rPr>
      </w:pPr>
      <w:r>
        <w:rPr>
          <w:rFonts w:ascii="Verdana" w:hAnsi="Verdana"/>
          <w:b/>
          <w:bCs/>
          <w:lang w:val="es-MX"/>
        </w:rPr>
        <w:t>C</w:t>
      </w:r>
      <w:r w:rsidRPr="00B6166A">
        <w:rPr>
          <w:rFonts w:ascii="Verdana" w:hAnsi="Verdana"/>
          <w:b/>
          <w:bCs/>
          <w:lang w:val="es-MX"/>
        </w:rPr>
        <w:t>ancelaciones efectuadas antes de 45 días, sin cargo.</w:t>
      </w:r>
    </w:p>
    <w:p w14:paraId="01B259EF" w14:textId="6BD85147" w:rsidR="008C769E" w:rsidRDefault="00B6166A" w:rsidP="00B6166A">
      <w:pPr>
        <w:jc w:val="both"/>
        <w:rPr>
          <w:rFonts w:ascii="Verdana" w:hAnsi="Verdana"/>
          <w:b/>
          <w:bCs/>
          <w:lang w:val="es-MX"/>
        </w:rPr>
      </w:pPr>
      <w:r w:rsidRPr="00B6166A">
        <w:rPr>
          <w:rFonts w:ascii="Verdana" w:hAnsi="Verdana"/>
          <w:b/>
          <w:bCs/>
          <w:lang w:val="es-MX"/>
        </w:rPr>
        <w:t>De 44 a 30 días antes de la fecha de llegada se aplican USD</w:t>
      </w:r>
      <w:r w:rsidR="008C769E">
        <w:rPr>
          <w:rFonts w:ascii="Verdana" w:hAnsi="Verdana"/>
          <w:b/>
          <w:bCs/>
          <w:lang w:val="es-MX"/>
        </w:rPr>
        <w:t xml:space="preserve"> </w:t>
      </w:r>
      <w:r w:rsidRPr="00B6166A">
        <w:rPr>
          <w:rFonts w:ascii="Verdana" w:hAnsi="Verdana"/>
          <w:b/>
          <w:bCs/>
          <w:lang w:val="es-MX"/>
        </w:rPr>
        <w:t>200</w:t>
      </w:r>
      <w:r w:rsidR="008C769E">
        <w:rPr>
          <w:rFonts w:ascii="Verdana" w:hAnsi="Verdana"/>
          <w:b/>
          <w:bCs/>
          <w:lang w:val="es-MX"/>
        </w:rPr>
        <w:t>,00</w:t>
      </w:r>
      <w:r w:rsidRPr="00B6166A">
        <w:rPr>
          <w:rFonts w:ascii="Verdana" w:hAnsi="Verdana"/>
          <w:b/>
          <w:bCs/>
          <w:lang w:val="es-MX"/>
        </w:rPr>
        <w:t xml:space="preserve"> por pasajero. </w:t>
      </w:r>
    </w:p>
    <w:p w14:paraId="188B7F73" w14:textId="7D011C52" w:rsidR="008C769E" w:rsidRDefault="00B6166A" w:rsidP="00B6166A">
      <w:pPr>
        <w:jc w:val="both"/>
        <w:rPr>
          <w:rFonts w:ascii="Verdana" w:hAnsi="Verdana"/>
          <w:b/>
          <w:bCs/>
          <w:lang w:val="es-MX"/>
        </w:rPr>
      </w:pPr>
      <w:r w:rsidRPr="00B6166A">
        <w:rPr>
          <w:rFonts w:ascii="Verdana" w:hAnsi="Verdana"/>
          <w:b/>
          <w:bCs/>
          <w:lang w:val="es-MX"/>
        </w:rPr>
        <w:t>29-15 días antes de la llegada se aplica un cargo de USD</w:t>
      </w:r>
      <w:r w:rsidR="008C769E">
        <w:rPr>
          <w:rFonts w:ascii="Verdana" w:hAnsi="Verdana"/>
          <w:b/>
          <w:bCs/>
          <w:lang w:val="es-MX"/>
        </w:rPr>
        <w:t xml:space="preserve"> </w:t>
      </w:r>
      <w:r w:rsidRPr="00B6166A">
        <w:rPr>
          <w:rFonts w:ascii="Verdana" w:hAnsi="Verdana"/>
          <w:b/>
          <w:bCs/>
          <w:lang w:val="es-MX"/>
        </w:rPr>
        <w:t>400</w:t>
      </w:r>
      <w:r w:rsidR="008C769E">
        <w:rPr>
          <w:rFonts w:ascii="Verdana" w:hAnsi="Verdana"/>
          <w:b/>
          <w:bCs/>
          <w:lang w:val="es-MX"/>
        </w:rPr>
        <w:t>,00</w:t>
      </w:r>
      <w:r w:rsidRPr="00B6166A">
        <w:rPr>
          <w:rFonts w:ascii="Verdana" w:hAnsi="Verdana"/>
          <w:b/>
          <w:bCs/>
          <w:lang w:val="es-MX"/>
        </w:rPr>
        <w:t xml:space="preserve"> por pasajero. </w:t>
      </w:r>
    </w:p>
    <w:p w14:paraId="317859E4" w14:textId="6C16998F" w:rsidR="00D225EF" w:rsidRDefault="00B6166A" w:rsidP="00B6166A">
      <w:pPr>
        <w:jc w:val="both"/>
        <w:rPr>
          <w:rFonts w:ascii="Verdana" w:hAnsi="Verdana"/>
          <w:b/>
          <w:bCs/>
          <w:lang w:val="es-MX"/>
        </w:rPr>
      </w:pPr>
      <w:r w:rsidRPr="00B6166A">
        <w:rPr>
          <w:rFonts w:ascii="Verdana" w:hAnsi="Verdana"/>
          <w:b/>
          <w:bCs/>
          <w:lang w:val="es-MX"/>
        </w:rPr>
        <w:t>14-7 días antes de la llegada se aplica un cargo de USD</w:t>
      </w:r>
      <w:r w:rsidR="008C769E">
        <w:rPr>
          <w:rFonts w:ascii="Verdana" w:hAnsi="Verdana"/>
          <w:b/>
          <w:bCs/>
          <w:lang w:val="es-MX"/>
        </w:rPr>
        <w:t xml:space="preserve"> </w:t>
      </w:r>
      <w:r w:rsidRPr="00B6166A">
        <w:rPr>
          <w:rFonts w:ascii="Verdana" w:hAnsi="Verdana"/>
          <w:b/>
          <w:bCs/>
          <w:lang w:val="es-MX"/>
        </w:rPr>
        <w:t>600</w:t>
      </w:r>
      <w:r w:rsidR="008C769E">
        <w:rPr>
          <w:rFonts w:ascii="Verdana" w:hAnsi="Verdana"/>
          <w:b/>
          <w:bCs/>
          <w:lang w:val="es-MX"/>
        </w:rPr>
        <w:t>,00</w:t>
      </w:r>
      <w:r w:rsidRPr="00B6166A">
        <w:rPr>
          <w:rFonts w:ascii="Verdana" w:hAnsi="Verdana"/>
          <w:b/>
          <w:bCs/>
          <w:lang w:val="es-MX"/>
        </w:rPr>
        <w:t xml:space="preserve"> por pasajero. De 1 a 6 días antes de la llegada</w:t>
      </w:r>
      <w:r w:rsidR="008C769E">
        <w:rPr>
          <w:rFonts w:ascii="Verdana" w:hAnsi="Verdana"/>
          <w:b/>
          <w:bCs/>
          <w:lang w:val="es-MX"/>
        </w:rPr>
        <w:t xml:space="preserve"> </w:t>
      </w:r>
      <w:r w:rsidRPr="00B6166A">
        <w:rPr>
          <w:rFonts w:ascii="Verdana" w:hAnsi="Verdana"/>
          <w:b/>
          <w:bCs/>
          <w:lang w:val="es-MX"/>
        </w:rPr>
        <w:t>es 100% NO reembolsable.</w:t>
      </w:r>
      <w:r>
        <w:rPr>
          <w:rFonts w:ascii="Verdana" w:hAnsi="Verdana"/>
          <w:b/>
          <w:bCs/>
          <w:lang w:val="es-MX"/>
        </w:rPr>
        <w:br/>
      </w:r>
    </w:p>
    <w:p w14:paraId="733A3309" w14:textId="77777777" w:rsidR="00B6166A" w:rsidRDefault="00B6166A" w:rsidP="00B6166A">
      <w:pPr>
        <w:jc w:val="both"/>
        <w:rPr>
          <w:rFonts w:ascii="Verdana" w:hAnsi="Verdana"/>
          <w:b/>
          <w:bCs/>
          <w:lang w:val="es-MX"/>
        </w:rPr>
      </w:pPr>
    </w:p>
    <w:p w14:paraId="0E9F2B3A" w14:textId="77777777" w:rsidR="00B6166A" w:rsidRDefault="00B6166A" w:rsidP="00B6166A">
      <w:pPr>
        <w:jc w:val="both"/>
        <w:rPr>
          <w:rFonts w:ascii="Verdana" w:hAnsi="Verdana"/>
          <w:b/>
          <w:bCs/>
          <w:lang w:val="es-MX"/>
        </w:rPr>
      </w:pPr>
    </w:p>
    <w:p w14:paraId="317F8325" w14:textId="77777777" w:rsidR="00B6166A" w:rsidRDefault="00B6166A" w:rsidP="00B6166A">
      <w:pPr>
        <w:jc w:val="both"/>
        <w:rPr>
          <w:rFonts w:ascii="Verdana" w:hAnsi="Verdana"/>
          <w:b/>
          <w:bCs/>
          <w:lang w:val="es-MX"/>
        </w:rPr>
      </w:pPr>
    </w:p>
    <w:p w14:paraId="67AD9DF1" w14:textId="77777777" w:rsidR="00B6166A" w:rsidRPr="001447B2" w:rsidRDefault="00B6166A" w:rsidP="00B6166A">
      <w:pPr>
        <w:jc w:val="both"/>
        <w:rPr>
          <w:rFonts w:ascii="Verdana" w:hAnsi="Verdana"/>
          <w:b/>
          <w:bCs/>
          <w:lang w:val="es-MX"/>
        </w:rPr>
      </w:pPr>
    </w:p>
    <w:p w14:paraId="59B14886" w14:textId="77777777" w:rsidR="00D225EF" w:rsidRDefault="00D225EF" w:rsidP="001476DA">
      <w:pPr>
        <w:jc w:val="both"/>
        <w:rPr>
          <w:rFonts w:ascii="Verdana" w:hAnsi="Verdana"/>
          <w:b/>
          <w:lang w:val="es-MX"/>
        </w:rPr>
      </w:pPr>
    </w:p>
    <w:p w14:paraId="6A616750" w14:textId="2D881C45"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3E365D92"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7174E">
        <w:rPr>
          <w:rFonts w:ascii="Verdana" w:hAnsi="Verdana"/>
          <w:b/>
          <w:bCs/>
          <w:lang w:val="es-MX"/>
        </w:rPr>
        <w:t xml:space="preserve">VISA </w:t>
      </w:r>
      <w:r w:rsidR="00F13D6E">
        <w:rPr>
          <w:rFonts w:ascii="Verdana" w:hAnsi="Verdana"/>
          <w:b/>
          <w:bCs/>
          <w:lang w:val="es-MX"/>
        </w:rPr>
        <w:t>CANADA</w:t>
      </w:r>
      <w:r w:rsidR="001447B2" w:rsidRPr="0017174E">
        <w:rPr>
          <w:rFonts w:ascii="Verdana" w:hAnsi="Verdana"/>
          <w:b/>
          <w:bCs/>
          <w:lang w:val="es-MX"/>
        </w:rPr>
        <w:t xml:space="preserve"> </w:t>
      </w:r>
      <w:r w:rsidR="0017174E">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02200095"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w:t>
      </w:r>
      <w:r w:rsidR="00D225EF">
        <w:rPr>
          <w:rFonts w:ascii="Verdana" w:hAnsi="Verdana"/>
          <w:b/>
          <w:sz w:val="18"/>
          <w:lang w:val="es-MX"/>
        </w:rPr>
        <w:t>6</w:t>
      </w:r>
    </w:p>
    <w:p w14:paraId="7B34A26E" w14:textId="77777777" w:rsidR="001476DA" w:rsidRDefault="001476DA" w:rsidP="001476DA">
      <w:pPr>
        <w:spacing w:after="120"/>
        <w:jc w:val="both"/>
        <w:rPr>
          <w:rFonts w:ascii="Verdana" w:hAnsi="Verdana"/>
          <w:lang w:val="es-MX"/>
        </w:rPr>
      </w:pPr>
      <w:r>
        <w:rPr>
          <w:rFonts w:ascii="Verdana" w:hAnsi="Verdana"/>
          <w:lang w:val="es-MX"/>
        </w:rPr>
        <w:t>La organización de estos viajes combinados ha sido realizado por VIAJES CELTOUR  operador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A prevenir  la comercialización sobre el  tráfico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A Prevenir la comercialización de especies  de flora y fauna amenazadas o en  peligro de extinción en Colombia e ilícito aprovechamiento de recursos naturales renovables, según la ley 17 de 1981, la resolución Ministerial No 1367 del 2000 y ley 1453  del 2011 articulo 29.</w:t>
      </w:r>
    </w:p>
    <w:p w14:paraId="4E60C803" w14:textId="6B609E58" w:rsidR="001476DA" w:rsidRDefault="001476DA" w:rsidP="001476DA">
      <w:pPr>
        <w:spacing w:after="120"/>
        <w:jc w:val="both"/>
        <w:rPr>
          <w:rFonts w:ascii="Verdana" w:hAnsi="Verdana"/>
        </w:rPr>
      </w:pPr>
      <w:r>
        <w:rPr>
          <w:rFonts w:ascii="Verdana" w:hAnsi="Verdana"/>
        </w:rPr>
        <w:t>. A prevenir la explotación laboral infantil según la ley  de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lastRenderedPageBreak/>
        <w:t>. A garantizar la protección de los derechos de una persona o grupo de personas, comunidad o pueblo, que son vulnerados en actos de racismo o discriminación ley 1482 del 2011 y la ley 1752 del 2015 castigos penales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Cuyo interés era aspira a sensibilizar a los responsables de tomar decisiones y al público en general de la contribución del turismo sostenible al desarrollo, movilizando a la vez a todos los grupos de interés para que trabajen juntos para hacer del turismo un catalizador de cambio  positivo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0B9F1E3" w14:textId="77777777" w:rsidR="008C769E" w:rsidRDefault="008C769E" w:rsidP="001476DA">
      <w:pPr>
        <w:spacing w:after="120"/>
        <w:jc w:val="both"/>
        <w:rPr>
          <w:rFonts w:ascii="Verdana" w:hAnsi="Verdana"/>
        </w:rPr>
      </w:pPr>
    </w:p>
    <w:p w14:paraId="559A1C8E" w14:textId="77777777" w:rsidR="008C769E" w:rsidRDefault="008C769E" w:rsidP="001476DA">
      <w:pPr>
        <w:spacing w:after="120"/>
        <w:jc w:val="both"/>
        <w:rPr>
          <w:rFonts w:ascii="Verdana" w:hAnsi="Verdana"/>
        </w:rPr>
      </w:pPr>
    </w:p>
    <w:p w14:paraId="675488EF" w14:textId="77777777" w:rsidR="008C769E" w:rsidRDefault="008C769E" w:rsidP="001476DA">
      <w:pPr>
        <w:spacing w:after="120"/>
        <w:jc w:val="both"/>
        <w:rPr>
          <w:rFonts w:ascii="Verdana" w:hAnsi="Verdana"/>
        </w:rPr>
      </w:pPr>
    </w:p>
    <w:p w14:paraId="37E7E925" w14:textId="77777777" w:rsidR="008C769E" w:rsidRDefault="008C769E" w:rsidP="001476DA">
      <w:pPr>
        <w:spacing w:after="120"/>
        <w:jc w:val="both"/>
        <w:rPr>
          <w:rFonts w:ascii="Verdana" w:hAnsi="Verdana"/>
        </w:rPr>
      </w:pPr>
    </w:p>
    <w:p w14:paraId="1DA02C30" w14:textId="77777777" w:rsidR="008C769E" w:rsidRDefault="008C769E" w:rsidP="001476DA">
      <w:pPr>
        <w:spacing w:after="120"/>
        <w:jc w:val="both"/>
        <w:rPr>
          <w:rFonts w:ascii="Verdana" w:hAnsi="Verdana"/>
        </w:rPr>
      </w:pPr>
    </w:p>
    <w:p w14:paraId="4FCF678B" w14:textId="56E801F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5A250780" w14:textId="77777777" w:rsidR="001503D9" w:rsidRDefault="001503D9" w:rsidP="001476DA">
      <w:pPr>
        <w:spacing w:after="120"/>
        <w:jc w:val="both"/>
        <w:rPr>
          <w:rFonts w:ascii="Verdana" w:hAnsi="Verdana"/>
          <w:b/>
        </w:rPr>
      </w:pPr>
    </w:p>
    <w:p w14:paraId="10CD9861" w14:textId="77777777" w:rsidR="001503D9" w:rsidRDefault="001503D9" w:rsidP="001476DA">
      <w:pPr>
        <w:spacing w:after="120"/>
        <w:jc w:val="both"/>
        <w:rPr>
          <w:rFonts w:ascii="Verdana" w:hAnsi="Verdana"/>
          <w:b/>
        </w:rPr>
      </w:pPr>
    </w:p>
    <w:p w14:paraId="62A795FE" w14:textId="77777777" w:rsidR="001503D9" w:rsidRDefault="001503D9" w:rsidP="001476DA">
      <w:pPr>
        <w:spacing w:after="120"/>
        <w:jc w:val="both"/>
        <w:rPr>
          <w:rFonts w:ascii="Verdana" w:hAnsi="Verdana"/>
          <w:b/>
        </w:rPr>
      </w:pPr>
    </w:p>
    <w:p w14:paraId="04B299E2" w14:textId="77777777" w:rsidR="006B0B53" w:rsidRDefault="006B0B53" w:rsidP="001476DA">
      <w:pPr>
        <w:spacing w:after="120"/>
        <w:jc w:val="both"/>
        <w:rPr>
          <w:rFonts w:ascii="Verdana" w:hAnsi="Verdana"/>
          <w:b/>
        </w:rPr>
      </w:pPr>
    </w:p>
    <w:p w14:paraId="14392AAB" w14:textId="77777777" w:rsidR="006B0B53" w:rsidRDefault="006B0B53" w:rsidP="001476DA">
      <w:pPr>
        <w:spacing w:after="120"/>
        <w:jc w:val="both"/>
        <w:rPr>
          <w:rFonts w:ascii="Verdana" w:hAnsi="Verdana"/>
          <w:b/>
        </w:rPr>
      </w:pPr>
    </w:p>
    <w:p w14:paraId="4DAA4998" w14:textId="77777777" w:rsidR="008C769E" w:rsidRDefault="008C769E" w:rsidP="00A10931">
      <w:pPr>
        <w:spacing w:after="120"/>
        <w:ind w:left="708"/>
        <w:jc w:val="both"/>
        <w:rPr>
          <w:rFonts w:ascii="Verdana" w:hAnsi="Verdana"/>
          <w:b/>
        </w:rPr>
      </w:pPr>
    </w:p>
    <w:p w14:paraId="6D06FAFD" w14:textId="77777777" w:rsidR="008C769E" w:rsidRDefault="008C769E" w:rsidP="00A10931">
      <w:pPr>
        <w:spacing w:after="120"/>
        <w:ind w:left="708"/>
        <w:jc w:val="both"/>
        <w:rPr>
          <w:rFonts w:ascii="Verdana" w:hAnsi="Verdana"/>
          <w:b/>
        </w:rPr>
      </w:pPr>
    </w:p>
    <w:p w14:paraId="52DF9047" w14:textId="77777777" w:rsidR="008C769E" w:rsidRDefault="008C769E" w:rsidP="00A10931">
      <w:pPr>
        <w:spacing w:after="120"/>
        <w:ind w:left="708"/>
        <w:jc w:val="both"/>
        <w:rPr>
          <w:rFonts w:ascii="Verdana" w:hAnsi="Verdana"/>
          <w:b/>
        </w:rPr>
      </w:pPr>
    </w:p>
    <w:p w14:paraId="7FD11D79" w14:textId="77777777" w:rsidR="008C769E" w:rsidRDefault="008C769E" w:rsidP="00A10931">
      <w:pPr>
        <w:spacing w:after="120"/>
        <w:ind w:left="708"/>
        <w:jc w:val="both"/>
        <w:rPr>
          <w:rFonts w:ascii="Verdana" w:hAnsi="Verdana"/>
          <w:b/>
        </w:rPr>
      </w:pPr>
    </w:p>
    <w:p w14:paraId="76F85F31" w14:textId="77777777" w:rsidR="008C769E" w:rsidRDefault="008C769E" w:rsidP="00A10931">
      <w:pPr>
        <w:spacing w:after="120"/>
        <w:ind w:left="708"/>
        <w:jc w:val="both"/>
        <w:rPr>
          <w:rFonts w:ascii="Verdana" w:hAnsi="Verdana"/>
          <w:b/>
        </w:rPr>
      </w:pPr>
    </w:p>
    <w:p w14:paraId="1B39CEA2" w14:textId="77777777" w:rsidR="008C769E" w:rsidRDefault="008C769E" w:rsidP="00A10931">
      <w:pPr>
        <w:spacing w:after="120"/>
        <w:ind w:left="708"/>
        <w:jc w:val="both"/>
        <w:rPr>
          <w:rFonts w:ascii="Verdana" w:hAnsi="Verdana"/>
          <w:b/>
        </w:rPr>
      </w:pPr>
    </w:p>
    <w:p w14:paraId="34C6908F" w14:textId="77777777" w:rsidR="008C769E" w:rsidRDefault="008C769E" w:rsidP="00A10931">
      <w:pPr>
        <w:spacing w:after="120"/>
        <w:ind w:left="708"/>
        <w:jc w:val="both"/>
        <w:rPr>
          <w:rFonts w:ascii="Verdana" w:hAnsi="Verdana"/>
          <w:b/>
        </w:rPr>
      </w:pPr>
    </w:p>
    <w:p w14:paraId="035D6935" w14:textId="77777777" w:rsidR="008C769E" w:rsidRDefault="008C769E" w:rsidP="00A10931">
      <w:pPr>
        <w:spacing w:after="120"/>
        <w:ind w:left="708"/>
        <w:jc w:val="both"/>
        <w:rPr>
          <w:rFonts w:ascii="Verdana" w:hAnsi="Verdana"/>
          <w:b/>
        </w:rPr>
      </w:pPr>
    </w:p>
    <w:p w14:paraId="751BEE3F" w14:textId="77777777" w:rsidR="008C769E" w:rsidRDefault="008C769E" w:rsidP="00A10931">
      <w:pPr>
        <w:spacing w:after="120"/>
        <w:ind w:left="708"/>
        <w:jc w:val="both"/>
        <w:rPr>
          <w:rFonts w:ascii="Verdana" w:hAnsi="Verdana"/>
          <w:b/>
        </w:rPr>
      </w:pPr>
    </w:p>
    <w:p w14:paraId="6B000AC2" w14:textId="77777777" w:rsidR="008C769E" w:rsidRDefault="008C769E" w:rsidP="00A10931">
      <w:pPr>
        <w:spacing w:after="120"/>
        <w:ind w:left="708"/>
        <w:jc w:val="both"/>
        <w:rPr>
          <w:rFonts w:ascii="Verdana" w:hAnsi="Verdana"/>
          <w:b/>
        </w:rPr>
      </w:pPr>
    </w:p>
    <w:p w14:paraId="35520DE4" w14:textId="77777777" w:rsidR="008C769E" w:rsidRDefault="008C769E" w:rsidP="00A10931">
      <w:pPr>
        <w:spacing w:after="120"/>
        <w:ind w:left="708"/>
        <w:jc w:val="both"/>
        <w:rPr>
          <w:rFonts w:ascii="Verdana" w:hAnsi="Verdana"/>
          <w:b/>
        </w:rPr>
      </w:pPr>
    </w:p>
    <w:p w14:paraId="19AA1CDD" w14:textId="77777777" w:rsidR="008C769E" w:rsidRDefault="008C769E" w:rsidP="00A10931">
      <w:pPr>
        <w:spacing w:after="120"/>
        <w:ind w:left="708"/>
        <w:jc w:val="both"/>
        <w:rPr>
          <w:rFonts w:ascii="Verdana" w:hAnsi="Verdana"/>
          <w:b/>
        </w:rPr>
      </w:pPr>
    </w:p>
    <w:p w14:paraId="6D2184B1" w14:textId="77777777" w:rsidR="008C769E" w:rsidRDefault="008C769E" w:rsidP="00A10931">
      <w:pPr>
        <w:spacing w:after="120"/>
        <w:ind w:left="708"/>
        <w:jc w:val="both"/>
        <w:rPr>
          <w:rFonts w:ascii="Verdana" w:hAnsi="Verdana"/>
          <w:b/>
        </w:rPr>
      </w:pPr>
    </w:p>
    <w:p w14:paraId="25EBF85C" w14:textId="2E2218E3" w:rsidR="001476DA" w:rsidRPr="00346AF7" w:rsidRDefault="001573E0" w:rsidP="00A10931">
      <w:pPr>
        <w:spacing w:after="120"/>
        <w:ind w:left="708"/>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1469A29">
            <wp:simplePos x="0" y="0"/>
            <wp:positionH relativeFrom="margin">
              <wp:align>center</wp:align>
            </wp:positionH>
            <wp:positionV relativeFrom="paragraph">
              <wp:posOffset>549275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BB7B" w14:textId="77777777" w:rsidR="00507CD9" w:rsidRDefault="00507CD9">
      <w:r>
        <w:separator/>
      </w:r>
    </w:p>
  </w:endnote>
  <w:endnote w:type="continuationSeparator" w:id="0">
    <w:p w14:paraId="4F0725CE" w14:textId="77777777" w:rsidR="00507CD9" w:rsidRDefault="0050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BD75" w14:textId="77777777" w:rsidR="00507CD9" w:rsidRDefault="00507CD9">
      <w:r>
        <w:separator/>
      </w:r>
    </w:p>
  </w:footnote>
  <w:footnote w:type="continuationSeparator" w:id="0">
    <w:p w14:paraId="5F154539" w14:textId="77777777" w:rsidR="00507CD9" w:rsidRDefault="0050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DE226E2"/>
    <w:multiLevelType w:val="hybridMultilevel"/>
    <w:tmpl w:val="D0CEF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6"/>
  </w:num>
  <w:num w:numId="4" w16cid:durableId="50226965">
    <w:abstractNumId w:val="5"/>
  </w:num>
  <w:num w:numId="5" w16cid:durableId="242833882">
    <w:abstractNumId w:val="2"/>
  </w:num>
  <w:num w:numId="6" w16cid:durableId="1123307793">
    <w:abstractNumId w:val="1"/>
  </w:num>
  <w:num w:numId="7" w16cid:durableId="902329314">
    <w:abstractNumId w:val="7"/>
  </w:num>
  <w:num w:numId="8" w16cid:durableId="166019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330B1"/>
    <w:rsid w:val="0004098F"/>
    <w:rsid w:val="0005068F"/>
    <w:rsid w:val="001447B2"/>
    <w:rsid w:val="001476DA"/>
    <w:rsid w:val="001503D9"/>
    <w:rsid w:val="001573E0"/>
    <w:rsid w:val="0017174E"/>
    <w:rsid w:val="00182B8A"/>
    <w:rsid w:val="001943F6"/>
    <w:rsid w:val="001C7F95"/>
    <w:rsid w:val="00237BD7"/>
    <w:rsid w:val="002443CA"/>
    <w:rsid w:val="00255E9C"/>
    <w:rsid w:val="00350A04"/>
    <w:rsid w:val="00394C6A"/>
    <w:rsid w:val="003A474D"/>
    <w:rsid w:val="00450F96"/>
    <w:rsid w:val="004A1B95"/>
    <w:rsid w:val="004E5933"/>
    <w:rsid w:val="00501DAA"/>
    <w:rsid w:val="00507CD9"/>
    <w:rsid w:val="00542CD4"/>
    <w:rsid w:val="00547DA1"/>
    <w:rsid w:val="00550584"/>
    <w:rsid w:val="005622EE"/>
    <w:rsid w:val="005A3708"/>
    <w:rsid w:val="0064331F"/>
    <w:rsid w:val="00644CFE"/>
    <w:rsid w:val="00680D9A"/>
    <w:rsid w:val="006B0B53"/>
    <w:rsid w:val="00741336"/>
    <w:rsid w:val="00782FAC"/>
    <w:rsid w:val="007905E9"/>
    <w:rsid w:val="007B5820"/>
    <w:rsid w:val="007D2E5F"/>
    <w:rsid w:val="007E4696"/>
    <w:rsid w:val="008C769E"/>
    <w:rsid w:val="009548AE"/>
    <w:rsid w:val="00991C7F"/>
    <w:rsid w:val="009D77A8"/>
    <w:rsid w:val="00A054A6"/>
    <w:rsid w:val="00A10931"/>
    <w:rsid w:val="00A40AB5"/>
    <w:rsid w:val="00A46D79"/>
    <w:rsid w:val="00A5284C"/>
    <w:rsid w:val="00A87CD1"/>
    <w:rsid w:val="00AC38D5"/>
    <w:rsid w:val="00AF6AD7"/>
    <w:rsid w:val="00B0584E"/>
    <w:rsid w:val="00B153BA"/>
    <w:rsid w:val="00B258ED"/>
    <w:rsid w:val="00B26B3C"/>
    <w:rsid w:val="00B32D52"/>
    <w:rsid w:val="00B6166A"/>
    <w:rsid w:val="00BA1753"/>
    <w:rsid w:val="00BA2B9C"/>
    <w:rsid w:val="00BD6C32"/>
    <w:rsid w:val="00BE01C2"/>
    <w:rsid w:val="00BE77F3"/>
    <w:rsid w:val="00BE7B55"/>
    <w:rsid w:val="00C0740C"/>
    <w:rsid w:val="00C54687"/>
    <w:rsid w:val="00C72692"/>
    <w:rsid w:val="00C847EC"/>
    <w:rsid w:val="00D225EF"/>
    <w:rsid w:val="00DA116B"/>
    <w:rsid w:val="00DC0C88"/>
    <w:rsid w:val="00DD6E9C"/>
    <w:rsid w:val="00DF1526"/>
    <w:rsid w:val="00E10A09"/>
    <w:rsid w:val="00E33496"/>
    <w:rsid w:val="00EA3AB0"/>
    <w:rsid w:val="00EC34B5"/>
    <w:rsid w:val="00ED2CDA"/>
    <w:rsid w:val="00F131B2"/>
    <w:rsid w:val="00F13D6E"/>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 w:type="table" w:styleId="Tablaconcuadrcula">
    <w:name w:val="Table Grid"/>
    <w:basedOn w:val="Tablanormal"/>
    <w:uiPriority w:val="39"/>
    <w:rsid w:val="00B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1476</TotalTime>
  <Pages>7</Pages>
  <Words>2126</Words>
  <Characters>11695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2</cp:lastModifiedBy>
  <cp:revision>31</cp:revision>
  <cp:lastPrinted>2025-11-20T22:01:00Z</cp:lastPrinted>
  <dcterms:created xsi:type="dcterms:W3CDTF">2025-03-18T22:36:00Z</dcterms:created>
  <dcterms:modified xsi:type="dcterms:W3CDTF">2025-11-25T20:36:00Z</dcterms:modified>
</cp:coreProperties>
</file>